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9D" w:rsidRPr="00DB769D" w:rsidRDefault="00F92DFF" w:rsidP="00F92DFF">
      <w:pPr>
        <w:jc w:val="both"/>
        <w:rPr>
          <w:lang w:val="en-US"/>
        </w:rPr>
      </w:pPr>
      <w:r>
        <w:rPr>
          <w:b/>
          <w:lang w:val="en-US"/>
        </w:rPr>
        <w:t>You Can Do It</w:t>
      </w:r>
      <w:r w:rsidR="00DB769D" w:rsidRPr="00DB769D">
        <w:rPr>
          <w:lang w:val="en-US"/>
        </w:rPr>
        <w:t xml:space="preserve"> (game title) concept overview</w:t>
      </w:r>
    </w:p>
    <w:p w:rsidR="00DB769D" w:rsidRPr="00F92DFF" w:rsidRDefault="00DB769D" w:rsidP="00F92DFF">
      <w:pPr>
        <w:jc w:val="both"/>
        <w:rPr>
          <w:b/>
          <w:lang w:val="en-US"/>
        </w:rPr>
      </w:pPr>
      <w:r w:rsidRPr="00F92DFF">
        <w:rPr>
          <w:b/>
          <w:lang w:val="en-US"/>
        </w:rPr>
        <w:t>PC (Game platform)</w:t>
      </w:r>
    </w:p>
    <w:p w:rsidR="00DB769D" w:rsidRDefault="00DB769D" w:rsidP="00F92DFF">
      <w:pPr>
        <w:jc w:val="both"/>
        <w:rPr>
          <w:lang w:val="en-US"/>
        </w:rPr>
      </w:pPr>
      <w:r w:rsidRPr="00F92DFF">
        <w:rPr>
          <w:b/>
          <w:lang w:val="en-US"/>
        </w:rPr>
        <w:t>Target Age:</w:t>
      </w:r>
      <w:r>
        <w:rPr>
          <w:lang w:val="en-US"/>
        </w:rPr>
        <w:t xml:space="preserve"> 10 – 30</w:t>
      </w:r>
    </w:p>
    <w:p w:rsidR="00DB769D" w:rsidRPr="00BB12E1" w:rsidRDefault="00DB769D" w:rsidP="00F92DFF">
      <w:pPr>
        <w:jc w:val="both"/>
      </w:pPr>
      <w:r w:rsidRPr="00BB12E1">
        <w:rPr>
          <w:b/>
        </w:rPr>
        <w:t>Rating:</w:t>
      </w:r>
      <w:r w:rsidRPr="00BB12E1">
        <w:t xml:space="preserve"> E10</w:t>
      </w:r>
    </w:p>
    <w:p w:rsidR="00F92DFF" w:rsidRDefault="00F92DFF" w:rsidP="00F92DFF">
      <w:pPr>
        <w:jc w:val="both"/>
      </w:pPr>
      <w:proofErr w:type="spellStart"/>
      <w:r w:rsidRPr="00F92DFF">
        <w:rPr>
          <w:b/>
        </w:rPr>
        <w:t>Game</w:t>
      </w:r>
      <w:proofErr w:type="spellEnd"/>
      <w:r w:rsidRPr="00F92DFF">
        <w:rPr>
          <w:b/>
        </w:rPr>
        <w:t xml:space="preserve"> </w:t>
      </w:r>
      <w:proofErr w:type="spellStart"/>
      <w:r w:rsidRPr="00F92DFF">
        <w:rPr>
          <w:b/>
        </w:rPr>
        <w:t>Summary</w:t>
      </w:r>
      <w:proofErr w:type="spellEnd"/>
      <w:r w:rsidRPr="00F92DFF">
        <w:rPr>
          <w:b/>
        </w:rPr>
        <w:t>:</w:t>
      </w:r>
      <w:r w:rsidRPr="00F92DFF">
        <w:t xml:space="preserve"> </w:t>
      </w:r>
      <w:r>
        <w:t xml:space="preserve">Nuestro protagonista se encuentra haciendo las actividades que comúnmente realiza, cuando aparece un monstruo que aterroriza a toda la población. Con el pasar del tiempo el protagonista se da cuenta que nadie hace nada para detenerlo, observa que dicen que ya aparecerá alguien que lo derrote, y la gente que lo ha intentado se ha rendido por </w:t>
      </w:r>
      <w:proofErr w:type="spellStart"/>
      <w:r>
        <w:t>que</w:t>
      </w:r>
      <w:proofErr w:type="spellEnd"/>
      <w:r>
        <w:t xml:space="preserve"> no lo han logrado rápido. Es así como nuestro aventurero inicia su travesía para derrotarle, puesto que, si no lo hace el, ¿Quién lo hará?</w:t>
      </w:r>
    </w:p>
    <w:p w:rsidR="00F92DFF" w:rsidRDefault="00F92DFF" w:rsidP="00F92DFF">
      <w:pPr>
        <w:jc w:val="both"/>
      </w:pPr>
      <w:proofErr w:type="spellStart"/>
      <w:r w:rsidRPr="00D96160">
        <w:rPr>
          <w:b/>
        </w:rPr>
        <w:t>Game</w:t>
      </w:r>
      <w:proofErr w:type="spellEnd"/>
      <w:r w:rsidRPr="00D96160">
        <w:rPr>
          <w:b/>
        </w:rPr>
        <w:t xml:space="preserve"> </w:t>
      </w:r>
      <w:proofErr w:type="spellStart"/>
      <w:r w:rsidRPr="00D96160">
        <w:rPr>
          <w:b/>
        </w:rPr>
        <w:t>Outline</w:t>
      </w:r>
      <w:proofErr w:type="spellEnd"/>
      <w:r w:rsidRPr="00D96160">
        <w:rPr>
          <w:b/>
        </w:rPr>
        <w:t>:</w:t>
      </w:r>
      <w:r>
        <w:t xml:space="preserve"> </w:t>
      </w:r>
      <w:r w:rsidR="00D96160">
        <w:t xml:space="preserve">El jugador tiene que vencer enemigos para poder avanzar. También puede hablar con </w:t>
      </w:r>
      <w:proofErr w:type="spellStart"/>
      <w:r w:rsidR="00D96160">
        <w:t>NPCs</w:t>
      </w:r>
      <w:proofErr w:type="spellEnd"/>
      <w:r w:rsidR="00D96160">
        <w:t xml:space="preserve"> para rec</w:t>
      </w:r>
      <w:r w:rsidR="003A08FB">
        <w:t xml:space="preserve">ibir información y consejos. Se puede enfrentar al </w:t>
      </w:r>
      <w:proofErr w:type="spellStart"/>
      <w:r w:rsidR="003A08FB">
        <w:t>boss</w:t>
      </w:r>
      <w:proofErr w:type="spellEnd"/>
      <w:r w:rsidR="003A08FB">
        <w:t xml:space="preserve"> final desde el comienzo, pero posiblemente seas derrotado, para cubrir estos problemas, puedes visitar </w:t>
      </w:r>
      <w:proofErr w:type="spellStart"/>
      <w:r w:rsidR="003A08FB">
        <w:t>dungeons</w:t>
      </w:r>
      <w:proofErr w:type="spellEnd"/>
      <w:r w:rsidR="003A08FB">
        <w:t xml:space="preserve"> y obtener mejoras que te ayudarán a derrotar al </w:t>
      </w:r>
      <w:proofErr w:type="spellStart"/>
      <w:r w:rsidR="003A08FB">
        <w:t>boss</w:t>
      </w:r>
      <w:proofErr w:type="spellEnd"/>
      <w:r w:rsidR="003A08FB">
        <w:t xml:space="preserve"> final. Tus acciones e interacciones con los </w:t>
      </w:r>
      <w:proofErr w:type="spellStart"/>
      <w:r w:rsidR="003A08FB">
        <w:t>NPCs</w:t>
      </w:r>
      <w:proofErr w:type="spellEnd"/>
      <w:r w:rsidR="003A08FB">
        <w:t xml:space="preserve"> pueden causar efectos en lo </w:t>
      </w:r>
      <w:proofErr w:type="spellStart"/>
      <w:r w:rsidR="003A08FB">
        <w:t>jugable</w:t>
      </w:r>
      <w:proofErr w:type="spellEnd"/>
      <w:r w:rsidR="003A08FB">
        <w:t>, ya sea mejores ítems o inclusive aliados.</w:t>
      </w:r>
    </w:p>
    <w:p w:rsidR="003A08FB" w:rsidRDefault="003A08FB" w:rsidP="00F92DFF">
      <w:pPr>
        <w:jc w:val="both"/>
        <w:rPr>
          <w:b/>
        </w:rPr>
      </w:pPr>
      <w:r>
        <w:rPr>
          <w:b/>
        </w:rPr>
        <w:t>USP (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Selling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Points</w:t>
      </w:r>
      <w:proofErr w:type="spellEnd"/>
      <w:r>
        <w:rPr>
          <w:b/>
        </w:rPr>
        <w:t>)</w:t>
      </w:r>
    </w:p>
    <w:p w:rsidR="003A08FB" w:rsidRPr="003A08FB" w:rsidRDefault="003A08FB" w:rsidP="003A08FB">
      <w:pPr>
        <w:pStyle w:val="Prrafodelista"/>
        <w:numPr>
          <w:ilvl w:val="0"/>
          <w:numId w:val="1"/>
        </w:numPr>
        <w:jc w:val="both"/>
        <w:rPr>
          <w:b/>
        </w:rPr>
      </w:pPr>
      <w:r>
        <w:t>Posibilidad de terminar el juego rápidamente (</w:t>
      </w:r>
      <w:proofErr w:type="spellStart"/>
      <w:r>
        <w:t>SpeedRun</w:t>
      </w:r>
      <w:proofErr w:type="spellEnd"/>
      <w:r>
        <w:t>).</w:t>
      </w:r>
    </w:p>
    <w:p w:rsidR="003A08FB" w:rsidRPr="003A08FB" w:rsidRDefault="003A08FB" w:rsidP="003A08FB">
      <w:pPr>
        <w:pStyle w:val="Prrafodelista"/>
        <w:numPr>
          <w:ilvl w:val="0"/>
          <w:numId w:val="1"/>
        </w:numPr>
        <w:jc w:val="both"/>
        <w:rPr>
          <w:b/>
        </w:rPr>
      </w:pPr>
      <w:r>
        <w:t>Una historia acerca de no rendirse y el cómo esto ayuda a los demás a seguir adelante.</w:t>
      </w:r>
    </w:p>
    <w:p w:rsidR="003A08FB" w:rsidRPr="003A08FB" w:rsidRDefault="00512A64" w:rsidP="003A08FB">
      <w:pPr>
        <w:pStyle w:val="Prrafodelista"/>
        <w:numPr>
          <w:ilvl w:val="0"/>
          <w:numId w:val="1"/>
        </w:numPr>
        <w:jc w:val="both"/>
        <w:rPr>
          <w:b/>
        </w:rPr>
      </w:pPr>
      <w:r>
        <w:t>Juego de acción y aventura.</w:t>
      </w:r>
    </w:p>
    <w:p w:rsidR="003A08FB" w:rsidRPr="003A08FB" w:rsidRDefault="003A08FB" w:rsidP="003A08FB">
      <w:pPr>
        <w:pStyle w:val="Prrafodelista"/>
        <w:numPr>
          <w:ilvl w:val="0"/>
          <w:numId w:val="1"/>
        </w:numPr>
        <w:jc w:val="both"/>
        <w:rPr>
          <w:b/>
        </w:rPr>
      </w:pPr>
      <w:r>
        <w:t>Diferentes maneras de lograr el final del juego.</w:t>
      </w:r>
    </w:p>
    <w:p w:rsidR="003A08FB" w:rsidRPr="003A08FB" w:rsidRDefault="003A08FB" w:rsidP="003A08FB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NPCs</w:t>
      </w:r>
      <w:proofErr w:type="spellEnd"/>
      <w:r>
        <w:t xml:space="preserve"> entrañables</w:t>
      </w:r>
      <w:r w:rsidR="00512A64">
        <w:t>.</w:t>
      </w:r>
    </w:p>
    <w:p w:rsidR="003A08FB" w:rsidRPr="00512A64" w:rsidRDefault="003A08FB" w:rsidP="003A08FB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Single Player </w:t>
      </w:r>
      <w:proofErr w:type="spellStart"/>
      <w:r>
        <w:t>game</w:t>
      </w:r>
      <w:proofErr w:type="spellEnd"/>
      <w:r w:rsidR="00512A64">
        <w:t>.</w:t>
      </w:r>
    </w:p>
    <w:p w:rsidR="00512A64" w:rsidRDefault="00512A64" w:rsidP="00512A64">
      <w:pPr>
        <w:jc w:val="both"/>
        <w:rPr>
          <w:b/>
        </w:rPr>
      </w:pPr>
      <w:r>
        <w:rPr>
          <w:b/>
        </w:rPr>
        <w:t xml:space="preserve">Similar </w:t>
      </w:r>
      <w:proofErr w:type="spellStart"/>
      <w:r>
        <w:rPr>
          <w:b/>
        </w:rPr>
        <w:t>competitive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products</w:t>
      </w:r>
      <w:proofErr w:type="spellEnd"/>
      <w:r>
        <w:rPr>
          <w:b/>
        </w:rPr>
        <w:t>:</w:t>
      </w:r>
    </w:p>
    <w:p w:rsidR="00512A64" w:rsidRDefault="00512A64">
      <w:pPr>
        <w:rPr>
          <w:lang w:val="en-US"/>
        </w:rPr>
      </w:pPr>
      <w:r w:rsidRPr="00512A64">
        <w:rPr>
          <w:lang w:val="en-US"/>
        </w:rPr>
        <w:t xml:space="preserve">The legend of Zelda, </w:t>
      </w:r>
      <w:proofErr w:type="spellStart"/>
      <w:r w:rsidRPr="00512A64">
        <w:rPr>
          <w:lang w:val="en-US"/>
        </w:rPr>
        <w:t>Minit</w:t>
      </w:r>
      <w:proofErr w:type="spellEnd"/>
      <w:r w:rsidRPr="00512A64">
        <w:rPr>
          <w:lang w:val="en-US"/>
        </w:rPr>
        <w:t xml:space="preserve">, </w:t>
      </w:r>
      <w:r>
        <w:rPr>
          <w:lang w:val="en-US"/>
        </w:rPr>
        <w:t xml:space="preserve">The binding of Isaac, </w:t>
      </w:r>
      <w:proofErr w:type="spellStart"/>
      <w:r>
        <w:rPr>
          <w:lang w:val="en-US"/>
        </w:rPr>
        <w:t>reventure</w:t>
      </w:r>
      <w:proofErr w:type="spellEnd"/>
      <w:r>
        <w:rPr>
          <w:lang w:val="en-US"/>
        </w:rPr>
        <w:t>.</w:t>
      </w:r>
    </w:p>
    <w:p w:rsidR="00512A64" w:rsidRPr="00512A64" w:rsidRDefault="00512A64">
      <w:pPr>
        <w:rPr>
          <w:b/>
          <w:lang w:val="en-US"/>
        </w:rPr>
      </w:pPr>
      <w:proofErr w:type="spellStart"/>
      <w:r>
        <w:rPr>
          <w:b/>
          <w:lang w:val="en-US"/>
        </w:rPr>
        <w:t>Minit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The Legend of Zelda A link to the past</w:t>
      </w:r>
    </w:p>
    <w:p w:rsidR="00512A64" w:rsidRDefault="00512A64">
      <w:r>
        <w:rPr>
          <w:noProof/>
          <w:lang w:eastAsia="es-MX"/>
        </w:rPr>
        <w:drawing>
          <wp:inline distT="0" distB="0" distL="0" distR="0">
            <wp:extent cx="2562225" cy="1441678"/>
            <wp:effectExtent l="0" t="0" r="0" b="6350"/>
            <wp:docPr id="2" name="Imagen 2" descr="Minit está gratis durante una semana en la Epic Games Store • Eurogamer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t está gratis durante una semana en la Epic Games Store • Eurogamer.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23" cy="145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A64">
        <w:t xml:space="preserve"> </w:t>
      </w:r>
      <w:r>
        <w:rPr>
          <w:noProof/>
          <w:lang w:eastAsia="es-MX"/>
        </w:rPr>
        <w:drawing>
          <wp:inline distT="0" distB="0" distL="0" distR="0">
            <wp:extent cx="2583058" cy="1454601"/>
            <wp:effectExtent l="0" t="0" r="8255" b="0"/>
            <wp:docPr id="3" name="Imagen 3" descr="The Legend of Zelda: A Link to the Past cuenta con 12 objetos que podemos  &quot;agarrar&quot; para obtener rupias ocultas - Nintenderos - Nintendo Switch,  Switch Lite y 3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egend of Zelda: A Link to the Past cuenta con 12 objetos que podemos  &quot;agarrar&quot; para obtener rupias ocultas - Nintenderos - Nintendo Switch,  Switch Lite y 3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93" cy="14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64" w:rsidRDefault="00512A64">
      <w:pPr>
        <w:rPr>
          <w:noProof/>
          <w:lang w:val="en-US" w:eastAsia="es-MX"/>
        </w:rPr>
      </w:pPr>
    </w:p>
    <w:p w:rsidR="00BB12E1" w:rsidRDefault="00BB12E1">
      <w:pPr>
        <w:rPr>
          <w:noProof/>
          <w:lang w:val="en-US" w:eastAsia="es-MX"/>
        </w:rPr>
      </w:pPr>
    </w:p>
    <w:p w:rsidR="00BB12E1" w:rsidRDefault="00BB12E1">
      <w:pPr>
        <w:rPr>
          <w:noProof/>
          <w:lang w:val="en-US" w:eastAsia="es-MX"/>
        </w:rPr>
      </w:pPr>
    </w:p>
    <w:p w:rsidR="00BB12E1" w:rsidRPr="00BB12E1" w:rsidRDefault="00BB12E1">
      <w:pPr>
        <w:rPr>
          <w:noProof/>
          <w:lang w:eastAsia="es-MX"/>
        </w:rPr>
      </w:pPr>
      <w:sdt>
        <w:sdtPr>
          <w:rPr>
            <w:noProof/>
            <w:lang w:val="en-US" w:eastAsia="es-MX"/>
          </w:rPr>
          <w:id w:val="-1441982504"/>
          <w:citation/>
        </w:sdtPr>
        <w:sdtContent>
          <w:r>
            <w:rPr>
              <w:noProof/>
              <w:lang w:val="en-US" w:eastAsia="es-MX"/>
            </w:rPr>
            <w:fldChar w:fldCharType="begin"/>
          </w:r>
          <w:r>
            <w:rPr>
              <w:noProof/>
              <w:lang w:eastAsia="es-MX"/>
            </w:rPr>
            <w:instrText xml:space="preserve"> CITATION May18 \l 2058 </w:instrText>
          </w:r>
          <w:r>
            <w:rPr>
              <w:noProof/>
              <w:lang w:val="en-US" w:eastAsia="es-MX"/>
            </w:rPr>
            <w:fldChar w:fldCharType="separate"/>
          </w:r>
          <w:r>
            <w:rPr>
              <w:noProof/>
              <w:lang w:eastAsia="es-MX"/>
            </w:rPr>
            <w:t>(Mayo Clinic, 2018)</w:t>
          </w:r>
          <w:r>
            <w:rPr>
              <w:noProof/>
              <w:lang w:val="en-US" w:eastAsia="es-MX"/>
            </w:rPr>
            <w:fldChar w:fldCharType="end"/>
          </w:r>
        </w:sdtContent>
      </w:sdt>
      <w:sdt>
        <w:sdtPr>
          <w:rPr>
            <w:noProof/>
            <w:lang w:val="en-US" w:eastAsia="es-MX"/>
          </w:rPr>
          <w:id w:val="712928159"/>
          <w:citation/>
        </w:sdtPr>
        <w:sdtContent>
          <w:r>
            <w:rPr>
              <w:noProof/>
              <w:lang w:val="en-US" w:eastAsia="es-MX"/>
            </w:rPr>
            <w:fldChar w:fldCharType="begin"/>
          </w:r>
          <w:r>
            <w:rPr>
              <w:noProof/>
              <w:lang w:eastAsia="es-MX"/>
            </w:rPr>
            <w:instrText xml:space="preserve">CITATION Olm \l 2058 </w:instrText>
          </w:r>
          <w:r>
            <w:rPr>
              <w:noProof/>
              <w:lang w:val="en-US" w:eastAsia="es-MX"/>
            </w:rPr>
            <w:fldChar w:fldCharType="separate"/>
          </w:r>
          <w:r>
            <w:rPr>
              <w:noProof/>
              <w:lang w:eastAsia="es-MX"/>
            </w:rPr>
            <w:t xml:space="preserve"> (Olmedo, Torres, Velasco, Mora, &amp; Blas)</w:t>
          </w:r>
          <w:r>
            <w:rPr>
              <w:noProof/>
              <w:lang w:val="en-US" w:eastAsia="es-MX"/>
            </w:rPr>
            <w:fldChar w:fldCharType="end"/>
          </w:r>
        </w:sdtContent>
      </w:sdt>
      <w:sdt>
        <w:sdtPr>
          <w:rPr>
            <w:noProof/>
            <w:lang w:val="en-US" w:eastAsia="es-MX"/>
          </w:rPr>
          <w:id w:val="535543617"/>
          <w:citation/>
        </w:sdtPr>
        <w:sdtContent>
          <w:r>
            <w:rPr>
              <w:noProof/>
              <w:lang w:val="en-US" w:eastAsia="es-MX"/>
            </w:rPr>
            <w:fldChar w:fldCharType="begin"/>
          </w:r>
          <w:r>
            <w:rPr>
              <w:noProof/>
              <w:lang w:eastAsia="es-MX"/>
            </w:rPr>
            <w:instrText xml:space="preserve"> CITATION EFE18 \l 2058 </w:instrText>
          </w:r>
          <w:r>
            <w:rPr>
              <w:noProof/>
              <w:lang w:val="en-US" w:eastAsia="es-MX"/>
            </w:rPr>
            <w:fldChar w:fldCharType="separate"/>
          </w:r>
          <w:r>
            <w:rPr>
              <w:noProof/>
              <w:lang w:eastAsia="es-MX"/>
            </w:rPr>
            <w:t xml:space="preserve"> (EFE, 2018)</w:t>
          </w:r>
          <w:r>
            <w:rPr>
              <w:noProof/>
              <w:lang w:val="en-US" w:eastAsia="es-MX"/>
            </w:rPr>
            <w:fldChar w:fldCharType="end"/>
          </w:r>
        </w:sdtContent>
      </w:sdt>
      <w:sdt>
        <w:sdtPr>
          <w:rPr>
            <w:noProof/>
            <w:lang w:val="en-US" w:eastAsia="es-MX"/>
          </w:rPr>
          <w:id w:val="-230610870"/>
          <w:citation/>
        </w:sdtPr>
        <w:sdtContent>
          <w:r>
            <w:rPr>
              <w:noProof/>
              <w:lang w:val="en-US" w:eastAsia="es-MX"/>
            </w:rPr>
            <w:fldChar w:fldCharType="begin"/>
          </w:r>
          <w:r>
            <w:rPr>
              <w:noProof/>
              <w:lang w:eastAsia="es-MX"/>
            </w:rPr>
            <w:instrText xml:space="preserve"> CITATION Org12 \l 2058 </w:instrText>
          </w:r>
          <w:r>
            <w:rPr>
              <w:noProof/>
              <w:lang w:val="en-US" w:eastAsia="es-MX"/>
            </w:rPr>
            <w:fldChar w:fldCharType="separate"/>
          </w:r>
          <w:r>
            <w:rPr>
              <w:noProof/>
              <w:lang w:eastAsia="es-MX"/>
            </w:rPr>
            <w:t xml:space="preserve"> (Organización Mundial de la Salud, 2012)</w:t>
          </w:r>
          <w:r>
            <w:rPr>
              <w:noProof/>
              <w:lang w:val="en-US" w:eastAsia="es-MX"/>
            </w:rPr>
            <w:fldChar w:fldCharType="end"/>
          </w:r>
        </w:sdtContent>
      </w:sdt>
    </w:p>
    <w:sdt>
      <w:sdtPr>
        <w:rPr>
          <w:lang w:val="es-ES"/>
        </w:rPr>
        <w:id w:val="-4033720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BB12E1" w:rsidRDefault="00BB12E1">
          <w:pPr>
            <w:pStyle w:val="Ttulo1"/>
          </w:pPr>
          <w:r>
            <w:rPr>
              <w:lang w:val="es-ES"/>
            </w:rPr>
            <w:t>Bibliografía</w:t>
          </w:r>
        </w:p>
        <w:bookmarkStart w:id="0" w:name="_GoBack" w:displacedByCustomXml="next"/>
        <w:sdt>
          <w:sdtPr>
            <w:id w:val="111145805"/>
            <w:bibliography/>
          </w:sdtPr>
          <w:sdtContent>
            <w:p w:rsidR="00BB12E1" w:rsidRDefault="00BB12E1" w:rsidP="00BB12E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EFE. (19 de Julio de 2018). </w:t>
              </w:r>
              <w:r>
                <w:rPr>
                  <w:i/>
                  <w:iCs/>
                  <w:noProof/>
                  <w:lang w:val="es-ES"/>
                </w:rPr>
                <w:t>Agencia EFE</w:t>
              </w:r>
              <w:r>
                <w:rPr>
                  <w:noProof/>
                  <w:lang w:val="es-ES"/>
                </w:rPr>
                <w:t>. Obtenido de Agencia EFE: https://www.efe.com/efe/america/mexico/la-distimia-un-trastorno-depresivo-que-suele-confundirse-con-desgano/50000545-3696120</w:t>
              </w:r>
            </w:p>
            <w:p w:rsidR="00BB12E1" w:rsidRDefault="00BB12E1" w:rsidP="00BB12E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Mayo Clinic. (8 de Diciembre de 2018). </w:t>
              </w:r>
              <w:r>
                <w:rPr>
                  <w:i/>
                  <w:iCs/>
                  <w:noProof/>
                  <w:lang w:val="es-ES"/>
                </w:rPr>
                <w:t>Mayo Clinic</w:t>
              </w:r>
              <w:r>
                <w:rPr>
                  <w:noProof/>
                  <w:lang w:val="es-ES"/>
                </w:rPr>
                <w:t>. Obtenido de Mayo Clinic: https://www.mayoclinic.org/es-es/diseases-conditions/persistent-depressive-disorder/symptoms-causes/syc-20350929</w:t>
              </w:r>
            </w:p>
            <w:p w:rsidR="00BB12E1" w:rsidRDefault="00BB12E1" w:rsidP="00BB12E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Olmedo, B., Torres, J., Velasco, R., Mora, A., &amp; Blas, L. (s.f.). </w:t>
              </w:r>
              <w:r>
                <w:rPr>
                  <w:i/>
                  <w:iCs/>
                  <w:noProof/>
                  <w:lang w:val="es-ES"/>
                </w:rPr>
                <w:t>medigraphic</w:t>
              </w:r>
              <w:r>
                <w:rPr>
                  <w:noProof/>
                  <w:lang w:val="es-ES"/>
                </w:rPr>
                <w:t>, 17-22.</w:t>
              </w:r>
            </w:p>
            <w:p w:rsidR="00BB12E1" w:rsidRDefault="00BB12E1" w:rsidP="00BB12E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Organización Mundial de la Salud. (9 de 10 de 2012). </w:t>
              </w:r>
              <w:r>
                <w:rPr>
                  <w:i/>
                  <w:iCs/>
                  <w:noProof/>
                  <w:lang w:val="es-ES"/>
                </w:rPr>
                <w:t>Organizacion Mundial de la Salud</w:t>
              </w:r>
              <w:r>
                <w:rPr>
                  <w:noProof/>
                  <w:lang w:val="es-ES"/>
                </w:rPr>
                <w:t>. Obtenido de Organizacion Mundial de la Salud: https://www.who.int/mediacentre/news/notes/2012/mental_health_day_20121009/es/</w:t>
              </w:r>
            </w:p>
            <w:p w:rsidR="00BB12E1" w:rsidRDefault="00BB12E1" w:rsidP="00BB12E1">
              <w:r>
                <w:rPr>
                  <w:b/>
                  <w:bCs/>
                </w:rPr>
                <w:fldChar w:fldCharType="end"/>
              </w:r>
            </w:p>
          </w:sdtContent>
        </w:sdt>
        <w:bookmarkEnd w:id="0" w:displacedByCustomXml="next"/>
      </w:sdtContent>
    </w:sdt>
    <w:p w:rsidR="00BB12E1" w:rsidRPr="00BB12E1" w:rsidRDefault="00BB12E1">
      <w:pPr>
        <w:rPr>
          <w:noProof/>
          <w:lang w:eastAsia="es-MX"/>
        </w:rPr>
      </w:pPr>
    </w:p>
    <w:sectPr w:rsidR="00BB12E1" w:rsidRPr="00BB1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0239"/>
    <w:multiLevelType w:val="hybridMultilevel"/>
    <w:tmpl w:val="B054182E"/>
    <w:lvl w:ilvl="0" w:tplc="4AF2A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6F"/>
    <w:rsid w:val="003A08FB"/>
    <w:rsid w:val="00512A64"/>
    <w:rsid w:val="005E0D6F"/>
    <w:rsid w:val="00BB12E1"/>
    <w:rsid w:val="00BE3658"/>
    <w:rsid w:val="00D96160"/>
    <w:rsid w:val="00DB769D"/>
    <w:rsid w:val="00E23F4C"/>
    <w:rsid w:val="00F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56C"/>
  <w15:chartTrackingRefBased/>
  <w15:docId w15:val="{64538055-D8A3-40CC-8F82-D3B981F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8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12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BB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May18</b:Tag>
    <b:SourceType>InternetSite</b:SourceType>
    <b:Guid>{C30BF1BB-F774-405C-A200-2CEA5EF37C80}</b:Guid>
    <b:Title>Mayo Clinic</b:Title>
    <b:Year>2018</b:Year>
    <b:Author>
      <b:Author>
        <b:Corporate>Mayo Clinic</b:Corporate>
      </b:Author>
    </b:Author>
    <b:InternetSiteTitle>Mayo Clinic</b:InternetSiteTitle>
    <b:Month>Diciembre</b:Month>
    <b:Day>8</b:Day>
    <b:URL>https://www.mayoclinic.org/es-es/diseases-conditions/persistent-depressive-disorder/symptoms-causes/syc-20350929</b:URL>
    <b:RefOrder>1</b:RefOrder>
  </b:Source>
  <b:Source>
    <b:Tag>EFE18</b:Tag>
    <b:SourceType>InternetSite</b:SourceType>
    <b:Guid>{69E04296-DFB4-49B2-A887-F854D08CE0D5}</b:Guid>
    <b:Title>Agencia EFE</b:Title>
    <b:Year>2018</b:Year>
    <b:Author>
      <b:Author>
        <b:Corporate>EFE</b:Corporate>
      </b:Author>
    </b:Author>
    <b:InternetSiteTitle>Agencia EFE</b:InternetSiteTitle>
    <b:Month>Julio</b:Month>
    <b:Day>19</b:Day>
    <b:URL>https://www.efe.com/efe/america/mexico/la-distimia-un-trastorno-depresivo-que-suele-confundirse-con-desgano/50000545-3696120</b:URL>
    <b:RefOrder>3</b:RefOrder>
  </b:Source>
  <b:Source>
    <b:Tag>Org12</b:Tag>
    <b:SourceType>InternetSite</b:SourceType>
    <b:Guid>{E930E2AE-2E7D-4A19-8B07-C46A86EE6C5D}</b:Guid>
    <b:Author>
      <b:Author>
        <b:Corporate>Organización Mundial de la Salud</b:Corporate>
      </b:Author>
    </b:Author>
    <b:Title>Organizacion Mundial de la Salud</b:Title>
    <b:InternetSiteTitle>Organizacion Mundial de la Salud</b:InternetSiteTitle>
    <b:Year>2012</b:Year>
    <b:Month>10</b:Month>
    <b:Day>9</b:Day>
    <b:URL>https://www.who.int/mediacentre/news/notes/2012/mental_health_day_20121009/es/</b:URL>
    <b:RefOrder>4</b:RefOrder>
  </b:Source>
  <b:Source>
    <b:Tag>Olm</b:Tag>
    <b:SourceType>JournalArticle</b:SourceType>
    <b:Guid>{597677AF-56F1-463F-91C4-29FA804EE6BB}</b:Guid>
    <b:JournalName>medigraphic</b:JournalName>
    <b:Pages>17-22</b:Pages>
    <b:Author>
      <b:Author>
        <b:NameList>
          <b:Person>
            <b:Last>Olmedo</b:Last>
            <b:First>Bertha</b:First>
          </b:Person>
          <b:Person>
            <b:Last>Torres</b:Last>
            <b:First>Jorge</b:First>
          </b:Person>
          <b:Person>
            <b:Last>Velasco</b:Last>
            <b:First>Raymundo</b:First>
          </b:Person>
          <b:Person>
            <b:Last>Mora</b:Last>
            <b:First>Ana</b:First>
          </b:Person>
          <b:Person>
            <b:Last>Blas</b:Last>
            <b:First>Laura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63F5062-8ED1-48F1-9943-662047AB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2020-11-11T00:32:00Z</dcterms:created>
  <dcterms:modified xsi:type="dcterms:W3CDTF">2021-01-18T01:33:00Z</dcterms:modified>
</cp:coreProperties>
</file>