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ESTUDIO EXPERIMENTAL</w:t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Tratamiento conservador versus inmunosupresor en pacientes con Nefropatía Membranosa Idiopática (MGN)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La Nefropatía membranosa Idiopática (MGN) es un trastorno renal que lleva a cambios e inflamación de las estructuras dentro del riñón que ayudan a filtrar los desechos y los líquidos. La inflamación puede llevar a que se presenten problemas de insuficiencia renal.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Se considera que un paciente presenta Insuficiencia Renal cuando la creatinina sérica (SCR) es mayor o igual que 1.5mg/dl. Además, valores de proteinuria mayores que 8mg/dl (en prueba rápida) son considerados anormales.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La MGN es una enfermedad de baja incidencia que tiene un tratamiento inmunosupresor controvertido, debido a la remisión espontánea y al buen pronóstico a largo plazo de algunos pacientes.</w:t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</w:rPr>
      </w:pPr>
      <w:r>
        <w:rPr>
          <w:b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</w:rPr>
      </w:pPr>
      <w:r>
        <w:rPr>
          <w:b/>
        </w:rPr>
        <w:t>Hipótesis: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Tras 6 meses de tratamiento, el descenso de creatinina sérica y proteinuria en pacientes tratados con prednisona es significativo con respecto  a la evolución normal de estos valores en pacientes que no reciben tratamiento inmunosupresor tras seis meses</w:t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</w:rPr>
      </w:pPr>
      <w:r>
        <w:rPr>
          <w:b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</w:rPr>
      </w:pPr>
      <w:r>
        <w:rPr>
          <w:b/>
        </w:rPr>
        <w:t>Objetivo principal: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Conocer las repercusiones de un tratamiento inmunosupresor (administrando prednisona) con respecto a un tratamiento conservador que no administre inmunosupresores en estos pacientes.</w:t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</w:rPr>
      </w:pPr>
      <w:r>
        <w:rPr>
          <w:b/>
        </w:rPr>
        <w:t>Objetivos secundarios: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Tras 6 meses de tratamiento, evaluar el descenso de creatinina sérica en pacientes tratados con prednisona, respecto a la evolución normal de estos valores en pacientes tratados de forma conservadora.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Tras 6 meses de tratamiento, evaluar el descenso de proteinuria en pacientes tratados con prednisona, respecto a la evolución normal de estos valores en pacientes tratados de forma conservadora.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  <w:rPr>
          <w:b/>
        </w:rPr>
      </w:pPr>
      <w:r>
        <w:rPr>
          <w:b/>
        </w:rPr>
        <w:t>Material y métodos:</w:t>
      </w:r>
    </w:p>
    <w:p>
      <w:pPr>
        <w:pStyle w:val="style0"/>
        <w:spacing w:after="0" w:before="0" w:line="100" w:lineRule="atLeast"/>
        <w:contextualSpacing w:val="false"/>
        <w:jc w:val="both"/>
        <w:rPr/>
      </w:pPr>
      <w:r>
        <w:rPr/>
        <w:t>Se toman 2 grupos de individuos, los cuales se tratarán durante 6 meses, uno con prednisona, y el otro con un tratamiento conservador sin inmunosupresores</w:t>
      </w:r>
    </w:p>
    <w:p>
      <w:pPr>
        <w:pStyle w:val="style0"/>
        <w:jc w:val="both"/>
        <w:rPr>
          <w:b/>
        </w:rPr>
      </w:pPr>
      <w:r>
        <w:rPr>
          <w:b/>
        </w:rPr>
      </w:r>
    </w:p>
    <w:p>
      <w:pPr>
        <w:pStyle w:val="style0"/>
        <w:jc w:val="both"/>
        <w:rPr>
          <w:b/>
        </w:rPr>
      </w:pPr>
      <w:r>
        <w:rPr>
          <w:b/>
        </w:rPr>
        <w:t>Variables:</w:t>
      </w:r>
    </w:p>
    <w:tbl>
      <w:tblPr>
        <w:tblW w:type="dxa" w:w="8504"/>
        <w:jc w:val="left"/>
        <w:tblInd w:type="dxa" w:w="11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758"/>
        <w:gridCol w:w="3075"/>
        <w:gridCol w:w="1671"/>
      </w:tblGrid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Variable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Categorías/Unidades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Codificación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Grupo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(Tratamiento)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1 = Trat. Conservador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2 = Trat. Con Prednisona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grupo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Sexo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1 = Hombre</w:t>
            </w:r>
          </w:p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2 = Mujer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</w:rPr>
            </w:pPr>
            <w:r>
              <w:rPr>
                <w:color w:val="000000"/>
              </w:rPr>
              <w:t>sexo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Edad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años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Creatinina sérica inicial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mg/dl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</w:rPr>
            </w:pPr>
            <w:r>
              <w:rPr>
                <w:color w:val="000000"/>
              </w:rPr>
              <w:t>scri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Creatinina sérica a los 6 meses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mg/dl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</w:rPr>
            </w:pPr>
            <w:r>
              <w:rPr>
                <w:color w:val="000000"/>
              </w:rPr>
              <w:t>scr6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Proteinuria inicial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mg/dl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</w:rPr>
            </w:pPr>
            <w:r>
              <w:rPr>
                <w:color w:val="000000"/>
              </w:rPr>
              <w:t>proti</w:t>
            </w:r>
          </w:p>
        </w:tc>
      </w:tr>
      <w:tr>
        <w:trPr>
          <w:cantSplit w:val="false"/>
        </w:trPr>
        <w:tc>
          <w:tcPr>
            <w:tcW w:type="dxa" w:w="375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Proteinuria a los 6 meses</w:t>
            </w:r>
          </w:p>
        </w:tc>
        <w:tc>
          <w:tcPr>
            <w:tcW w:type="dxa" w:w="30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both"/>
              <w:rPr/>
            </w:pPr>
            <w:r>
              <w:rPr/>
              <w:t>mg/dl</w:t>
            </w:r>
          </w:p>
        </w:tc>
        <w:tc>
          <w:tcPr>
            <w:tcW w:type="dxa" w:w="167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contextualSpacing w:val="false"/>
              <w:rPr>
                <w:color w:val="000000"/>
              </w:rPr>
            </w:pPr>
            <w:r>
              <w:rPr>
                <w:color w:val="000000"/>
              </w:rPr>
              <w:t>prot6</w:t>
            </w:r>
          </w:p>
        </w:tc>
      </w:tr>
    </w:tbl>
    <w:p>
      <w:pPr>
        <w:pStyle w:val="style0"/>
        <w:jc w:val="both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pageBreakBefore/>
        <w:jc w:val="both"/>
        <w:rPr/>
      </w:pPr>
      <w:r>
        <w:rPr>
          <w:b/>
        </w:rPr>
        <w:t>Realizar los siguientes análisis estadísticos</w:t>
      </w:r>
      <w:r>
        <w:rPr/>
        <w:t>: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 xml:space="preserve">Desde el punto de vista descriptivo, analizar la edad de los pacientes en cada grupo. 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¿Existen diferencias significativas en la edad media de los grupos? Es decir, ¿son los grupos comparables en cuanto a la edad de los pacientes?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Desde el punto de vista descriptivo, analizar el sexo de los pacientes en función del grupo al que han sido asignados.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Analizar si los grupos son comparables en cuanto al sexo, es decir, si existen diferencias significativas entre los grupos con respecto a esta variable.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Realizar un análisis descriptivo de la creatinina sérica en ambos grupos al inicio del estudio.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¿Se puede decir que los niveles de creatinina sérica en ambos grupos son similares al inicio del tratamiento?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Realizar un análisis descriptivo de la proteinuria al inicio del estudio en ambos grupos.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>¿Se puede decir que los niveles de proteinuria al inicio del estudio son similares en ambos grupos?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 xml:space="preserve">Dar respuesta a la hipótesis del estudio: comparar los valores de creatinina sérica y proteinuria entre los grupos a los seis meses de tratamiento. </w:t>
      </w:r>
    </w:p>
    <w:p>
      <w:pPr>
        <w:pStyle w:val="style22"/>
        <w:numPr>
          <w:ilvl w:val="0"/>
          <w:numId w:val="1"/>
        </w:numPr>
        <w:jc w:val="both"/>
        <w:rPr/>
      </w:pPr>
      <w:r>
        <w:rPr/>
        <w:t xml:space="preserve">Dar respuesta a los objetivos secundarios. </w:t>
      </w:r>
    </w:p>
    <w:p>
      <w:pPr>
        <w:pStyle w:val="style0"/>
        <w:jc w:val="both"/>
        <w:rPr/>
      </w:pPr>
      <w:r>
        <w:rPr>
          <w:b/>
        </w:rPr>
        <w:t>Conclusiones y discusión</w:t>
      </w:r>
      <w:r>
        <w:rPr/>
        <w:t>:</w:t>
      </w:r>
    </w:p>
    <w:p>
      <w:pPr>
        <w:pStyle w:val="style0"/>
        <w:jc w:val="both"/>
        <w:rPr/>
      </w:pPr>
      <w:r>
        <w:rPr/>
        <w:t>Extraer las conclusiones derivadas de los resultados obtenidos en el análisis estadístico, a</w:t>
      </w:r>
      <w:bookmarkStart w:id="0" w:name="_GoBack"/>
      <w:bookmarkEnd w:id="0"/>
      <w:r>
        <w:rPr/>
        <w:t>nalizarlas y discutirlas</w:t>
      </w:r>
    </w:p>
    <w:p>
      <w:pPr>
        <w:pStyle w:val="style0"/>
        <w:jc w:val="both"/>
        <w:rPr>
          <w:b/>
        </w:rPr>
      </w:pPr>
      <w:r>
        <w:rPr>
          <w:b/>
        </w:rPr>
        <w:t>Informe:</w:t>
      </w:r>
    </w:p>
    <w:p>
      <w:pPr>
        <w:pStyle w:val="style0"/>
        <w:jc w:val="both"/>
        <w:rPr/>
      </w:pPr>
      <w:r>
        <w:rPr/>
        <w:t>Realizar un informe que describa los análisis realizados en dos partes diferenciadas:</w:t>
      </w:r>
    </w:p>
    <w:p>
      <w:pPr>
        <w:pStyle w:val="style22"/>
        <w:numPr>
          <w:ilvl w:val="0"/>
          <w:numId w:val="2"/>
        </w:numPr>
        <w:jc w:val="both"/>
        <w:rPr/>
      </w:pPr>
      <w:r>
        <w:rPr/>
        <w:t>Una descripción de las técnicas descriptivas e inferenciales utilizadas, la confianza y errores supuestos, y el programa estadístico utilizado</w:t>
      </w:r>
    </w:p>
    <w:p>
      <w:pPr>
        <w:pStyle w:val="style22"/>
        <w:numPr>
          <w:ilvl w:val="0"/>
          <w:numId w:val="2"/>
        </w:numPr>
        <w:jc w:val="both"/>
        <w:rPr/>
      </w:pPr>
      <w:r>
        <w:rPr/>
        <w:t>Un desarrollo de los resultados del análisis estadístico realizado y de las conclusiones que se obtienen.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9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roid Sans Fallback" w:hAnsi="Calibri"/>
      <w:color w:val="auto"/>
      <w:sz w:val="22"/>
      <w:szCs w:val="22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Encabezado"/>
    <w:basedOn w:val="style0"/>
    <w:next w:val="style18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Droid Sans Devanagari"/>
    </w:rPr>
  </w:style>
  <w:style w:styleId="style20" w:type="paragraph">
    <w:name w:val="Pie"/>
    <w:basedOn w:val="style0"/>
    <w:next w:val="style20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Droid Sans Devanagar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2014-11-21T12:01:00Z</dcterms:created>
  <dc:creator>Carolina</dc:creator>
  <cp:lastModifiedBy>JUAN LUIS GONZALEZ CABALLERO</cp:lastModifiedBy>
  <dcterms:modified xsi:type="dcterms:W3CDTF">2014-11-24T09:04:00Z</dcterms:modified>
  <cp:revision>5</cp:revision>
</cp:coreProperties>
</file>