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4BAA6A">
      <w:pPr>
        <w:pStyle w:val="11"/>
        <w:numPr>
          <w:ilvl w:val="0"/>
          <w:numId w:val="1"/>
        </w:numPr>
        <w:ind w:left="480" w:leftChars="0" w:hanging="480" w:firstLineChars="0"/>
        <w:outlineLvl w:val="0"/>
        <w:rPr>
          <w:rFonts w:ascii="仿宋" w:hAnsi="仿宋" w:eastAsia="仿宋"/>
          <w:b/>
          <w:bCs/>
          <w:sz w:val="24"/>
        </w:rPr>
      </w:pPr>
      <w:r>
        <w:rPr>
          <w:rFonts w:hint="eastAsia" w:ascii="仿宋" w:hAnsi="仿宋" w:eastAsia="仿宋"/>
          <w:b/>
          <w:bCs/>
          <w:sz w:val="24"/>
        </w:rPr>
        <w:t>数据集</w:t>
      </w:r>
    </w:p>
    <w:p w14:paraId="57573D30">
      <w:pPr>
        <w:rPr>
          <w:rFonts w:hint="eastAsia"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MIMIC-CXR</w:t>
      </w:r>
      <w:r>
        <w:rPr>
          <w:rFonts w:hint="eastAsia" w:ascii="仿宋" w:hAnsi="仿宋" w:eastAsia="仿宋"/>
          <w:sz w:val="24"/>
        </w:rPr>
        <w:t>和</w:t>
      </w:r>
      <w:r>
        <w:rPr>
          <w:rFonts w:ascii="仿宋" w:hAnsi="仿宋" w:eastAsia="仿宋"/>
          <w:sz w:val="24"/>
        </w:rPr>
        <w:t xml:space="preserve">IU X-ray </w:t>
      </w:r>
      <w:r>
        <w:rPr>
          <w:rFonts w:hint="eastAsia" w:ascii="仿宋" w:hAnsi="仿宋" w:eastAsia="仿宋"/>
          <w:sz w:val="24"/>
        </w:rPr>
        <w:t>【有multi</w:t>
      </w:r>
      <w:r>
        <w:rPr>
          <w:rFonts w:ascii="仿宋" w:hAnsi="仿宋" w:eastAsia="仿宋"/>
          <w:sz w:val="24"/>
        </w:rPr>
        <w:t>-hot</w:t>
      </w:r>
      <w:r>
        <w:rPr>
          <w:rFonts w:hint="eastAsia" w:ascii="仿宋" w:hAnsi="仿宋" w:eastAsia="仿宋"/>
          <w:sz w:val="24"/>
        </w:rPr>
        <w:t>标签】</w:t>
      </w:r>
    </w:p>
    <w:p w14:paraId="254A5C88">
      <w:pPr>
        <w:rPr>
          <w:rFonts w:hint="eastAsia" w:ascii="仿宋" w:hAnsi="仿宋" w:eastAsia="仿宋"/>
          <w:color w:val="FF0000"/>
          <w:sz w:val="24"/>
        </w:rPr>
      </w:pPr>
    </w:p>
    <w:p w14:paraId="01670591">
      <w:pPr>
        <w:snapToGrid w:val="0"/>
        <w:spacing w:line="360" w:lineRule="auto"/>
        <w:outlineLvl w:val="0"/>
        <w:rPr>
          <w:rFonts w:ascii="仿宋" w:hAnsi="仿宋" w:eastAsia="仿宋"/>
          <w:b/>
          <w:bCs/>
          <w:sz w:val="24"/>
        </w:rPr>
      </w:pPr>
      <w:r>
        <w:rPr>
          <w:rFonts w:ascii="仿宋" w:hAnsi="仿宋" w:eastAsia="仿宋"/>
          <w:b/>
          <w:bCs/>
          <w:sz w:val="24"/>
        </w:rPr>
        <w:t>二、主实验</w:t>
      </w:r>
    </w:p>
    <w:p w14:paraId="684D3E07">
      <w:pPr>
        <w:snapToGrid w:val="0"/>
        <w:spacing w:line="360" w:lineRule="auto"/>
        <w:outlineLvl w:val="1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2.1 对比基线（Baselines）</w:t>
      </w:r>
    </w:p>
    <w:p w14:paraId="76516EC7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分为三类，体现</w:t>
      </w:r>
      <w:r>
        <w:rPr>
          <w:rFonts w:hint="eastAsia" w:ascii="仿宋" w:hAnsi="仿宋" w:eastAsia="仿宋"/>
          <w:sz w:val="24"/>
        </w:rPr>
        <w:t>我们</w:t>
      </w:r>
      <w:r>
        <w:rPr>
          <w:rFonts w:ascii="仿宋" w:hAnsi="仿宋" w:eastAsia="仿宋"/>
          <w:sz w:val="24"/>
        </w:rPr>
        <w:t>方法在三个维度上的优势：</w:t>
      </w:r>
    </w:p>
    <w:p w14:paraId="2D13C49A">
      <w:pPr>
        <w:snapToGrid w:val="0"/>
        <w:spacing w:line="360" w:lineRule="auto"/>
        <w:outlineLvl w:val="2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①</w:t>
      </w:r>
      <w:r>
        <w:rPr>
          <w:rFonts w:ascii="Calibri" w:hAnsi="Calibri" w:eastAsia="仿宋" w:cs="Calibri"/>
          <w:sz w:val="24"/>
        </w:rPr>
        <w:t> </w:t>
      </w:r>
      <w:r>
        <w:rPr>
          <w:rFonts w:ascii="仿宋" w:hAnsi="仿宋" w:eastAsia="仿宋"/>
          <w:sz w:val="24"/>
        </w:rPr>
        <w:t>传统端到端报告生成模型</w:t>
      </w:r>
    </w:p>
    <w:p w14:paraId="6A6A089B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R2Gen(EMNLP 2020)、METransformer(CVPR 2021)</w:t>
      </w:r>
    </w:p>
    <w:p w14:paraId="45A75834">
      <w:pPr>
        <w:snapToGrid w:val="0"/>
        <w:spacing w:line="360" w:lineRule="auto"/>
        <w:rPr>
          <w:rFonts w:hint="eastAsia"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PPKED(CVPR 2022)、R2GenCMN</w:t>
      </w:r>
      <w:r>
        <w:rPr>
          <w:rFonts w:hint="eastAsia" w:ascii="仿宋" w:hAnsi="仿宋" w:eastAsia="仿宋"/>
          <w:sz w:val="24"/>
        </w:rPr>
        <w:t>、2</w:t>
      </w:r>
      <w:r>
        <w:rPr>
          <w:rFonts w:ascii="仿宋" w:hAnsi="仿宋" w:eastAsia="仿宋"/>
          <w:sz w:val="24"/>
        </w:rPr>
        <w:t>3</w:t>
      </w:r>
      <w:r>
        <w:rPr>
          <w:rFonts w:hint="eastAsia" w:ascii="仿宋" w:hAnsi="仿宋" w:eastAsia="仿宋"/>
          <w:sz w:val="24"/>
        </w:rPr>
        <w:t>、2</w:t>
      </w:r>
      <w:r>
        <w:rPr>
          <w:rFonts w:ascii="仿宋" w:hAnsi="仿宋" w:eastAsia="仿宋"/>
          <w:sz w:val="24"/>
        </w:rPr>
        <w:t>4</w:t>
      </w:r>
      <w:r>
        <w:rPr>
          <w:rFonts w:hint="eastAsia" w:ascii="仿宋" w:hAnsi="仿宋" w:eastAsia="仿宋"/>
          <w:sz w:val="24"/>
        </w:rPr>
        <w:t>、2</w:t>
      </w:r>
      <w:r>
        <w:rPr>
          <w:rFonts w:ascii="仿宋" w:hAnsi="仿宋" w:eastAsia="仿宋"/>
          <w:sz w:val="24"/>
        </w:rPr>
        <w:t>5</w:t>
      </w:r>
      <w:r>
        <w:rPr>
          <w:rFonts w:hint="eastAsia" w:ascii="仿宋" w:hAnsi="仿宋" w:eastAsia="仿宋"/>
          <w:sz w:val="24"/>
        </w:rPr>
        <w:t>、2</w:t>
      </w:r>
      <w:r>
        <w:rPr>
          <w:rFonts w:ascii="仿宋" w:hAnsi="仿宋" w:eastAsia="仿宋"/>
          <w:sz w:val="24"/>
        </w:rPr>
        <w:t>6</w:t>
      </w:r>
      <w:r>
        <w:rPr>
          <w:rFonts w:hint="eastAsia" w:ascii="仿宋" w:hAnsi="仿宋" w:eastAsia="仿宋"/>
          <w:sz w:val="24"/>
        </w:rPr>
        <w:t>年。</w:t>
      </w:r>
    </w:p>
    <w:p w14:paraId="00D91926">
      <w:pPr>
        <w:snapToGrid w:val="0"/>
        <w:spacing w:line="360" w:lineRule="auto"/>
        <w:rPr>
          <w:rFonts w:hint="eastAsia" w:ascii="仿宋" w:hAnsi="仿宋" w:eastAsia="仿宋"/>
          <w:sz w:val="24"/>
        </w:rPr>
      </w:pPr>
      <w:r>
        <w:rPr>
          <w:rFonts w:hint="eastAsia" w:ascii="仿宋" w:hAnsi="仿宋" w:eastAsia="仿宋"/>
          <w:sz w:val="24"/>
        </w:rPr>
        <w:t>【</w:t>
      </w:r>
      <w:r>
        <w:rPr>
          <w:rFonts w:hint="eastAsia" w:ascii="仿宋" w:hAnsi="仿宋" w:eastAsia="仿宋"/>
          <w:b/>
          <w:bCs/>
          <w:color w:val="FF0000"/>
          <w:sz w:val="24"/>
        </w:rPr>
        <w:t>每年至少一个</w:t>
      </w:r>
      <w:r>
        <w:rPr>
          <w:rFonts w:hint="eastAsia" w:ascii="仿宋" w:hAnsi="仿宋" w:eastAsia="仿宋"/>
          <w:sz w:val="24"/>
        </w:rPr>
        <w:t>顶级会议/期刊的base</w:t>
      </w:r>
      <w:r>
        <w:rPr>
          <w:rFonts w:ascii="仿宋" w:hAnsi="仿宋" w:eastAsia="仿宋"/>
          <w:sz w:val="24"/>
        </w:rPr>
        <w:t>line</w:t>
      </w:r>
      <w:r>
        <w:rPr>
          <w:rFonts w:hint="eastAsia" w:ascii="仿宋" w:hAnsi="仿宋" w:eastAsia="仿宋"/>
          <w:sz w:val="24"/>
        </w:rPr>
        <w:t>】</w:t>
      </w:r>
    </w:p>
    <w:p w14:paraId="23A67D6E">
      <w:pPr>
        <w:snapToGrid w:val="0"/>
        <w:spacing w:line="360" w:lineRule="auto"/>
        <w:outlineLvl w:val="2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② 基于大模型/VLM的方法（当前主流）</w:t>
      </w:r>
    </w:p>
    <w:p w14:paraId="7EA06DA2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CheX-VLM/Med-Gemini类：直接用工具箱中的底座模型端到端生成</w:t>
      </w:r>
    </w:p>
    <w:p w14:paraId="4526A866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（</w:t>
      </w:r>
      <w:r>
        <w:rPr>
          <w:rFonts w:ascii="仿宋" w:hAnsi="仿宋" w:eastAsia="仿宋"/>
          <w:b/>
          <w:bCs/>
          <w:color w:val="FF0000"/>
          <w:sz w:val="24"/>
        </w:rPr>
        <w:t>重要！</w:t>
      </w:r>
      <w:r>
        <w:rPr>
          <w:rFonts w:ascii="仿宋" w:hAnsi="仿宋" w:eastAsia="仿宋"/>
          <w:sz w:val="24"/>
        </w:rPr>
        <w:t>证明Agent框架本身的价值）</w:t>
      </w:r>
    </w:p>
    <w:p w14:paraId="77172250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MAIRA-2</w:t>
      </w:r>
      <w:r>
        <w:rPr>
          <w:rFonts w:ascii="Calibri" w:hAnsi="Calibri" w:eastAsia="仿宋" w:cs="Calibri"/>
          <w:sz w:val="24"/>
        </w:rPr>
        <w:t> </w:t>
      </w:r>
      <w:r>
        <w:rPr>
          <w:rFonts w:ascii="仿宋" w:hAnsi="仿宋" w:eastAsia="仿宋"/>
          <w:sz w:val="24"/>
        </w:rPr>
        <w:t>(Microsoft, 2024)：带grounded report生成</w:t>
      </w:r>
    </w:p>
    <w:p w14:paraId="4D8C43B5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MedRAT / RaDialog、LLM-CXR</w:t>
      </w:r>
      <w:r>
        <w:rPr>
          <w:rFonts w:ascii="Calibri" w:hAnsi="Calibri" w:eastAsia="仿宋" w:cs="Calibri"/>
          <w:sz w:val="24"/>
        </w:rPr>
        <w:t> </w:t>
      </w:r>
      <w:r>
        <w:rPr>
          <w:rFonts w:ascii="仿宋" w:hAnsi="仿宋" w:eastAsia="仿宋"/>
          <w:sz w:val="24"/>
        </w:rPr>
        <w:t>(2024)：LLM-based报告生成</w:t>
      </w:r>
    </w:p>
    <w:p w14:paraId="190E5F48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MIMIC-Diff-VQA、KG4RM</w:t>
      </w:r>
      <w:r>
        <w:rPr>
          <w:rFonts w:ascii="Calibri" w:hAnsi="Calibri" w:eastAsia="仿宋" w:cs="Calibri"/>
          <w:sz w:val="24"/>
        </w:rPr>
        <w:t> </w:t>
      </w:r>
      <w:r>
        <w:rPr>
          <w:rFonts w:ascii="仿宋" w:hAnsi="仿宋" w:eastAsia="仿宋"/>
          <w:sz w:val="24"/>
        </w:rPr>
        <w:t>等近期方法</w:t>
      </w:r>
    </w:p>
    <w:p w14:paraId="576A0F8B">
      <w:pPr>
        <w:snapToGrid w:val="0"/>
        <w:spacing w:line="360" w:lineRule="auto"/>
        <w:outlineLvl w:val="2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③ Agent+推理类方法（</w:t>
      </w:r>
      <w:r>
        <w:rPr>
          <w:rFonts w:ascii="仿宋" w:hAnsi="仿宋" w:eastAsia="仿宋"/>
          <w:b/>
          <w:bCs/>
          <w:color w:val="FF0000"/>
          <w:sz w:val="24"/>
        </w:rPr>
        <w:t>最核心对比</w:t>
      </w:r>
      <w:r>
        <w:rPr>
          <w:rFonts w:ascii="仿宋" w:hAnsi="仿宋" w:eastAsia="仿宋"/>
          <w:sz w:val="24"/>
        </w:rPr>
        <w:t>）</w:t>
      </w:r>
    </w:p>
    <w:p w14:paraId="1AE31ECA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ReAct baseline：同一策略模型（Qwen3-14B）+相同工具箱，但采用标准单层ReAct循环（不做分层假设-验证-查漏）</w:t>
      </w:r>
    </w:p>
    <w:p w14:paraId="1620F650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CoT/Reflection baseline：LLM自反思式多轮生成，无外部工具</w:t>
      </w:r>
    </w:p>
    <w:p w14:paraId="0996271E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Tool-use without RL：</w:t>
      </w:r>
      <w:r>
        <w:rPr>
          <w:rFonts w:hint="eastAsia" w:ascii="仿宋" w:hAnsi="仿宋" w:eastAsia="仿宋"/>
          <w:sz w:val="24"/>
        </w:rPr>
        <w:t>我们</w:t>
      </w:r>
      <w:r>
        <w:rPr>
          <w:rFonts w:ascii="仿宋" w:hAnsi="仿宋" w:eastAsia="仿宋"/>
          <w:sz w:val="24"/>
        </w:rPr>
        <w:t>的完整Agent框架，但策略模型不做GRPO训练（仅prompting），这条对比是证明RL模块的关键</w:t>
      </w:r>
    </w:p>
    <w:p w14:paraId="20BFEFCF">
      <w:pPr>
        <w:rPr>
          <w:rFonts w:ascii="仿宋" w:hAnsi="仿宋" w:eastAsia="仿宋"/>
          <w:sz w:val="24"/>
        </w:rPr>
      </w:pPr>
    </w:p>
    <w:p w14:paraId="4FC31D84">
      <w:pPr>
        <w:snapToGrid w:val="0"/>
        <w:spacing w:line="360" w:lineRule="auto"/>
        <w:outlineLvl w:val="1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2.2 评价指标</w:t>
      </w:r>
    </w:p>
    <w:p w14:paraId="0B5025A0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报告临床质量指标（主指标）：</w:t>
      </w:r>
    </w:p>
    <w:p w14:paraId="1CC02858">
      <w:pPr>
        <w:pStyle w:val="11"/>
        <w:numPr>
          <w:ilvl w:val="0"/>
          <w:numId w:val="2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CE</w:t>
      </w:r>
      <w:r>
        <w:rPr>
          <w:rFonts w:hint="eastAsia" w:ascii="仿宋" w:hAnsi="仿宋" w:eastAsia="仿宋"/>
          <w:sz w:val="24"/>
        </w:rPr>
        <w:t xml:space="preserve"> </w:t>
      </w:r>
      <w:r>
        <w:rPr>
          <w:rFonts w:ascii="仿宋" w:hAnsi="仿宋" w:eastAsia="仿宋"/>
          <w:sz w:val="24"/>
        </w:rPr>
        <w:t>Metrics：报告CE-F1（ Clinical Efficacy F1）</w:t>
      </w:r>
    </w:p>
    <w:p w14:paraId="12D87ACF">
      <w:pPr>
        <w:pStyle w:val="11"/>
        <w:numPr>
          <w:ilvl w:val="0"/>
          <w:numId w:val="2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RadGraph F1</w:t>
      </w:r>
      <w:r>
        <w:rPr>
          <w:rFonts w:ascii="Calibri" w:hAnsi="Calibri" w:eastAsia="仿宋" w:cs="Calibri"/>
          <w:sz w:val="24"/>
        </w:rPr>
        <w:t> </w:t>
      </w:r>
      <w:r>
        <w:rPr>
          <w:rFonts w:ascii="仿宋" w:hAnsi="仿宋" w:eastAsia="仿宋"/>
          <w:sz w:val="24"/>
        </w:rPr>
        <w:t>：基于RadGraph实体-关系匹配</w:t>
      </w:r>
    </w:p>
    <w:p w14:paraId="536A9E65">
      <w:pPr>
        <w:pStyle w:val="11"/>
        <w:numPr>
          <w:ilvl w:val="0"/>
          <w:numId w:val="2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NLG指标（辅助）：BLEU-1/4、ROUGE-L、METEOR</w:t>
      </w:r>
    </w:p>
    <w:p w14:paraId="3C4B5B6A">
      <w:pPr>
        <w:pStyle w:val="11"/>
        <w:numPr>
          <w:ilvl w:val="0"/>
          <w:numId w:val="2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可追溯性/证据对齐指标（</w:t>
      </w:r>
      <w:r>
        <w:rPr>
          <w:rFonts w:hint="eastAsia" w:ascii="仿宋" w:hAnsi="仿宋" w:eastAsia="仿宋"/>
          <w:sz w:val="24"/>
        </w:rPr>
        <w:t>我们的</w:t>
      </w:r>
      <w:r>
        <w:rPr>
          <w:rFonts w:ascii="仿宋" w:hAnsi="仿宋" w:eastAsia="仿宋"/>
          <w:sz w:val="24"/>
        </w:rPr>
        <w:t>核心卖点，需新定义）：</w:t>
      </w:r>
    </w:p>
    <w:p w14:paraId="4773291A">
      <w:pPr>
        <w:pStyle w:val="11"/>
        <w:numPr>
          <w:ilvl w:val="0"/>
          <w:numId w:val="3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证据失配率 P_misalign：报告中无证据支撑的异常发现比例（幻觉率）</w:t>
      </w:r>
    </w:p>
    <w:p w14:paraId="4FD1CBEF">
      <w:pPr>
        <w:pStyle w:val="11"/>
        <w:numPr>
          <w:ilvl w:val="0"/>
          <w:numId w:val="3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证据覆盖率：有证据支撑的发现/报告全部发现</w:t>
      </w:r>
    </w:p>
    <w:p w14:paraId="68591832">
      <w:pPr>
        <w:pStyle w:val="11"/>
        <w:numPr>
          <w:ilvl w:val="0"/>
          <w:numId w:val="3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假阳性率 (FP rate)</w:t>
      </w:r>
      <w:r>
        <w:rPr>
          <w:rFonts w:ascii="Calibri" w:hAnsi="Calibri" w:eastAsia="仿宋" w:cs="Calibri"/>
          <w:sz w:val="24"/>
        </w:rPr>
        <w:t> </w:t>
      </w:r>
      <w:r>
        <w:rPr>
          <w:rFonts w:ascii="仿宋" w:hAnsi="仿宋" w:eastAsia="仿宋"/>
          <w:sz w:val="24"/>
        </w:rPr>
        <w:t>vs.</w:t>
      </w:r>
      <w:r>
        <w:rPr>
          <w:rFonts w:ascii="Calibri" w:hAnsi="Calibri" w:eastAsia="仿宋" w:cs="Calibri"/>
          <w:sz w:val="24"/>
        </w:rPr>
        <w:t> </w:t>
      </w:r>
      <w:r>
        <w:rPr>
          <w:rFonts w:ascii="仿宋" w:hAnsi="仿宋" w:eastAsia="仿宋"/>
          <w:sz w:val="24"/>
        </w:rPr>
        <w:t>漏诊率：分别报告，证明“控假阳、防漏诊”两项约束</w:t>
      </w:r>
    </w:p>
    <w:p w14:paraId="4252AEF4">
      <w:pPr>
        <w:pStyle w:val="11"/>
        <w:numPr>
          <w:ilvl w:val="0"/>
          <w:numId w:val="3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清单覆盖率 Checklist Coverage：7项解剖条目被核验的比例</w:t>
      </w:r>
    </w:p>
    <w:p w14:paraId="59174D5D">
      <w:pPr>
        <w:pStyle w:val="11"/>
        <w:numPr>
          <w:ilvl w:val="0"/>
          <w:numId w:val="3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工具效率指标：平均工具调用次数、调用成功率、冗余调用比例（证明RL让调用更高效）</w:t>
      </w:r>
    </w:p>
    <w:p w14:paraId="2365352A">
      <w:pPr>
        <w:pStyle w:val="11"/>
        <w:numPr>
          <w:ilvl w:val="0"/>
          <w:numId w:val="3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人工评估：2-3名医生（或医学生）对50-100份报告盲评，维度：临床准确性</w:t>
      </w:r>
      <w:r>
        <w:rPr>
          <w:rFonts w:hint="eastAsia" w:ascii="仿宋" w:hAnsi="仿宋" w:eastAsia="仿宋"/>
          <w:sz w:val="24"/>
        </w:rPr>
        <w:t>、</w:t>
      </w:r>
      <w:r>
        <w:rPr>
          <w:rFonts w:ascii="仿宋" w:hAnsi="仿宋" w:eastAsia="仿宋"/>
          <w:sz w:val="24"/>
        </w:rPr>
        <w:t>证据可追溯性</w:t>
      </w:r>
      <w:r>
        <w:rPr>
          <w:rFonts w:hint="eastAsia" w:ascii="仿宋" w:hAnsi="仿宋" w:eastAsia="仿宋"/>
          <w:sz w:val="24"/>
        </w:rPr>
        <w:t>、</w:t>
      </w:r>
      <w:r>
        <w:rPr>
          <w:rFonts w:ascii="仿宋" w:hAnsi="仿宋" w:eastAsia="仿宋"/>
          <w:sz w:val="24"/>
        </w:rPr>
        <w:t>幻觉程度</w:t>
      </w:r>
      <w:r>
        <w:rPr>
          <w:rFonts w:hint="eastAsia" w:ascii="仿宋" w:hAnsi="仿宋" w:eastAsia="仿宋"/>
          <w:sz w:val="24"/>
        </w:rPr>
        <w:t>、</w:t>
      </w:r>
      <w:r>
        <w:rPr>
          <w:rFonts w:ascii="仿宋" w:hAnsi="仿宋" w:eastAsia="仿宋"/>
          <w:sz w:val="24"/>
        </w:rPr>
        <w:t>整体可用性，5分Likert量表，报告一致性Kappa。</w:t>
      </w:r>
      <w:r>
        <w:rPr>
          <w:rFonts w:hint="eastAsia" w:ascii="仿宋" w:hAnsi="仿宋" w:eastAsia="仿宋"/>
          <w:color w:val="FF0000"/>
          <w:sz w:val="24"/>
        </w:rPr>
        <w:t>【后期我来处理】</w:t>
      </w:r>
    </w:p>
    <w:p w14:paraId="71D73CFF">
      <w:pPr>
        <w:pStyle w:val="11"/>
        <w:snapToGrid w:val="0"/>
        <w:spacing w:line="360" w:lineRule="auto"/>
        <w:ind w:left="420" w:firstLine="0" w:firstLineChars="0"/>
        <w:rPr>
          <w:rFonts w:hint="eastAsia" w:ascii="仿宋" w:hAnsi="仿宋" w:eastAsia="仿宋"/>
          <w:color w:val="FF0000"/>
          <w:sz w:val="24"/>
        </w:rPr>
      </w:pPr>
    </w:p>
    <w:p w14:paraId="073A927B">
      <w:pPr>
        <w:snapToGrid w:val="0"/>
        <w:spacing w:line="360" w:lineRule="auto"/>
        <w:outlineLvl w:val="0"/>
        <w:rPr>
          <w:rFonts w:ascii="仿宋" w:hAnsi="仿宋" w:eastAsia="仿宋"/>
          <w:b/>
          <w:bCs/>
          <w:sz w:val="24"/>
        </w:rPr>
      </w:pPr>
      <w:r>
        <w:rPr>
          <w:rFonts w:ascii="仿宋" w:hAnsi="仿宋" w:eastAsia="仿宋"/>
          <w:b/>
          <w:bCs/>
          <w:sz w:val="24"/>
        </w:rPr>
        <w:t>三、消融实验</w:t>
      </w:r>
    </w:p>
    <w:tbl>
      <w:tblPr>
        <w:tblStyle w:val="6"/>
        <w:tblW w:w="935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510"/>
        <w:gridCol w:w="2693"/>
        <w:gridCol w:w="3402"/>
      </w:tblGrid>
      <w:tr w14:paraId="67CF14C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51" w:type="dxa"/>
          </w:tcPr>
          <w:p w14:paraId="2E0FF57B">
            <w:pPr>
              <w:snapToGrid w:val="0"/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</w:p>
        </w:tc>
        <w:tc>
          <w:tcPr>
            <w:tcW w:w="2510" w:type="dxa"/>
          </w:tcPr>
          <w:p w14:paraId="519C9658">
            <w:pPr>
              <w:snapToGrid w:val="0"/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ascii="仿宋" w:hAnsi="仿宋" w:eastAsia="仿宋"/>
                <w:b/>
                <w:bCs/>
                <w:sz w:val="24"/>
              </w:rPr>
              <w:t>消融项</w:t>
            </w:r>
          </w:p>
        </w:tc>
        <w:tc>
          <w:tcPr>
            <w:tcW w:w="2693" w:type="dxa"/>
          </w:tcPr>
          <w:p w14:paraId="7F4087A8">
            <w:pPr>
              <w:snapToGrid w:val="0"/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ascii="仿宋" w:hAnsi="仿宋" w:eastAsia="仿宋"/>
                <w:b/>
                <w:bCs/>
                <w:sz w:val="24"/>
              </w:rPr>
              <w:t>设置</w:t>
            </w:r>
          </w:p>
        </w:tc>
        <w:tc>
          <w:tcPr>
            <w:tcW w:w="3402" w:type="dxa"/>
          </w:tcPr>
          <w:p w14:paraId="69A13084">
            <w:pPr>
              <w:snapToGrid w:val="0"/>
              <w:jc w:val="center"/>
              <w:rPr>
                <w:rFonts w:hint="eastAsia" w:ascii="仿宋" w:hAnsi="仿宋" w:eastAsia="仿宋"/>
                <w:b/>
                <w:bCs/>
                <w:sz w:val="24"/>
              </w:rPr>
            </w:pPr>
            <w:r>
              <w:rPr>
                <w:rFonts w:ascii="仿宋" w:hAnsi="仿宋" w:eastAsia="仿宋"/>
                <w:b/>
                <w:bCs/>
                <w:sz w:val="24"/>
              </w:rPr>
              <w:t>验证目标</w:t>
            </w:r>
          </w:p>
        </w:tc>
      </w:tr>
      <w:tr w14:paraId="608C293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751" w:type="dxa"/>
          </w:tcPr>
          <w:p w14:paraId="53BF5795">
            <w:pPr>
              <w:snapToGrid w:val="0"/>
              <w:rPr>
                <w:rFonts w:hint="eastAsia" w:ascii="仿宋" w:hAnsi="仿宋" w:eastAsia="仿宋"/>
                <w:szCs w:val="21"/>
              </w:rPr>
            </w:pPr>
          </w:p>
        </w:tc>
        <w:tc>
          <w:tcPr>
            <w:tcW w:w="2510" w:type="dxa"/>
          </w:tcPr>
          <w:p w14:paraId="0E5D6540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去掉分层结构</w:t>
            </w:r>
          </w:p>
        </w:tc>
        <w:tc>
          <w:tcPr>
            <w:tcW w:w="2693" w:type="dxa"/>
          </w:tcPr>
          <w:p w14:paraId="3001EFE3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单层ReAct直接规划调用</w:t>
            </w:r>
          </w:p>
        </w:tc>
        <w:tc>
          <w:tcPr>
            <w:tcW w:w="3402" w:type="dxa"/>
          </w:tcPr>
          <w:p w14:paraId="555CB4AD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分层“假设生成→验证→查漏”设计的必要性</w:t>
            </w:r>
            <w:r>
              <w:rPr>
                <w:rFonts w:ascii="仿宋" w:hAnsi="仿宋" w:eastAsia="仿宋"/>
                <w:color w:val="FF0000"/>
                <w:szCs w:val="21"/>
              </w:rPr>
              <w:t>（核心消融）</w:t>
            </w:r>
          </w:p>
        </w:tc>
      </w:tr>
      <w:tr w14:paraId="055E1242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751" w:type="dxa"/>
          </w:tcPr>
          <w:p w14:paraId="64B75EEA">
            <w:pPr>
              <w:snapToGrid w:val="0"/>
              <w:rPr>
                <w:rFonts w:hint="eastAsia" w:ascii="仿宋" w:hAnsi="仿宋" w:eastAsia="仿宋"/>
                <w:szCs w:val="21"/>
              </w:rPr>
            </w:pPr>
          </w:p>
        </w:tc>
        <w:tc>
          <w:tcPr>
            <w:tcW w:w="2510" w:type="dxa"/>
          </w:tcPr>
          <w:p w14:paraId="69C12C58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去掉GRPO训练</w:t>
            </w:r>
          </w:p>
        </w:tc>
        <w:tc>
          <w:tcPr>
            <w:tcW w:w="2693" w:type="dxa"/>
          </w:tcPr>
          <w:p w14:paraId="32CF170B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仅prompting策略</w:t>
            </w:r>
          </w:p>
        </w:tc>
        <w:tc>
          <w:tcPr>
            <w:tcW w:w="3402" w:type="dxa"/>
          </w:tcPr>
          <w:p w14:paraId="69BC2EC6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RL训练的</w:t>
            </w:r>
            <w:r>
              <w:rPr>
                <w:rFonts w:hint="eastAsia" w:ascii="仿宋" w:hAnsi="仿宋" w:eastAsia="仿宋"/>
                <w:szCs w:val="21"/>
              </w:rPr>
              <w:t>作用</w:t>
            </w:r>
          </w:p>
          <w:p w14:paraId="4DB3CA20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（核心消融）</w:t>
            </w:r>
          </w:p>
        </w:tc>
      </w:tr>
      <w:tr w14:paraId="3E177D9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751" w:type="dxa"/>
          </w:tcPr>
          <w:p w14:paraId="664BE4C6">
            <w:pPr>
              <w:snapToGrid w:val="0"/>
              <w:rPr>
                <w:rFonts w:hint="eastAsia" w:ascii="仿宋" w:hAnsi="仿宋" w:eastAsia="仿宋"/>
                <w:szCs w:val="21"/>
              </w:rPr>
            </w:pPr>
          </w:p>
        </w:tc>
        <w:tc>
          <w:tcPr>
            <w:tcW w:w="2510" w:type="dxa"/>
          </w:tcPr>
          <w:p w14:paraId="089468FC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去掉 P_misalign惩罚项</w:t>
            </w:r>
          </w:p>
        </w:tc>
        <w:tc>
          <w:tcPr>
            <w:tcW w:w="2693" w:type="dxa"/>
          </w:tcPr>
          <w:p w14:paraId="408C31FC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λ_mis = 0</w:t>
            </w:r>
          </w:p>
        </w:tc>
        <w:tc>
          <w:tcPr>
            <w:tcW w:w="3402" w:type="dxa"/>
          </w:tcPr>
          <w:p w14:paraId="5D66715A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证据失配惩罚对幻觉率的抑制效果</w:t>
            </w:r>
          </w:p>
        </w:tc>
      </w:tr>
      <w:tr w14:paraId="016204E1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751" w:type="dxa"/>
          </w:tcPr>
          <w:p w14:paraId="1B8B35E0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补充</w:t>
            </w:r>
          </w:p>
        </w:tc>
        <w:tc>
          <w:tcPr>
            <w:tcW w:w="2510" w:type="dxa"/>
          </w:tcPr>
          <w:p w14:paraId="7C14F631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去掉诊断清单查漏</w:t>
            </w:r>
          </w:p>
        </w:tc>
        <w:tc>
          <w:tcPr>
            <w:tcW w:w="2693" w:type="dxa"/>
          </w:tcPr>
          <w:p w14:paraId="4B35BB3F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第二层不做解剖条目核对</w:t>
            </w:r>
          </w:p>
        </w:tc>
        <w:tc>
          <w:tcPr>
            <w:tcW w:w="3402" w:type="dxa"/>
          </w:tcPr>
          <w:p w14:paraId="675D4D0E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清单约束对覆盖率的贡献</w:t>
            </w:r>
          </w:p>
        </w:tc>
      </w:tr>
      <w:tr w14:paraId="7443A83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751" w:type="dxa"/>
          </w:tcPr>
          <w:p w14:paraId="4AAFCBCC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补充</w:t>
            </w:r>
          </w:p>
        </w:tc>
        <w:tc>
          <w:tcPr>
            <w:tcW w:w="2510" w:type="dxa"/>
          </w:tcPr>
          <w:p w14:paraId="2861E9B5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去掉证据消歧</w:t>
            </w:r>
          </w:p>
        </w:tc>
        <w:tc>
          <w:tcPr>
            <w:tcW w:w="2693" w:type="dxa"/>
          </w:tcPr>
          <w:p w14:paraId="4F4F808C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工具矛盾时不追加调用</w:t>
            </w:r>
          </w:p>
        </w:tc>
        <w:tc>
          <w:tcPr>
            <w:tcW w:w="3402" w:type="dxa"/>
          </w:tcPr>
          <w:p w14:paraId="38035E41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消歧机制的作用</w:t>
            </w:r>
          </w:p>
        </w:tc>
      </w:tr>
      <w:tr w14:paraId="3BFB3E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8" w:hRule="atLeast"/>
        </w:trPr>
        <w:tc>
          <w:tcPr>
            <w:tcW w:w="751" w:type="dxa"/>
          </w:tcPr>
          <w:p w14:paraId="183A3D10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补充</w:t>
            </w:r>
          </w:p>
        </w:tc>
        <w:tc>
          <w:tcPr>
            <w:tcW w:w="2510" w:type="dxa"/>
          </w:tcPr>
          <w:p w14:paraId="68603011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去掉工具行为奖励 R_tool</w:t>
            </w:r>
          </w:p>
        </w:tc>
        <w:tc>
          <w:tcPr>
            <w:tcW w:w="2693" w:type="dxa"/>
          </w:tcPr>
          <w:p w14:paraId="4D20DF61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仅用 R_quality 训练</w:t>
            </w:r>
          </w:p>
        </w:tc>
        <w:tc>
          <w:tcPr>
            <w:tcW w:w="3402" w:type="dxa"/>
          </w:tcPr>
          <w:p w14:paraId="012678F7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工具行为的必要性</w:t>
            </w:r>
          </w:p>
        </w:tc>
      </w:tr>
      <w:tr w14:paraId="43364B3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</w:trPr>
        <w:tc>
          <w:tcPr>
            <w:tcW w:w="751" w:type="dxa"/>
          </w:tcPr>
          <w:p w14:paraId="380C6007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补充</w:t>
            </w:r>
          </w:p>
        </w:tc>
        <w:tc>
          <w:tcPr>
            <w:tcW w:w="2510" w:type="dxa"/>
          </w:tcPr>
          <w:p w14:paraId="3093B307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逐项去掉R_tool子奖励</w:t>
            </w:r>
          </w:p>
        </w:tc>
        <w:tc>
          <w:tcPr>
            <w:tcW w:w="2693" w:type="dxa"/>
          </w:tcPr>
          <w:p w14:paraId="2D47D88E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分别去掉 R_succ/R_div/ R_coh/R_toolJudge</w:t>
            </w:r>
          </w:p>
        </w:tc>
        <w:tc>
          <w:tcPr>
            <w:tcW w:w="3402" w:type="dxa"/>
          </w:tcPr>
          <w:p w14:paraId="384B7E3A">
            <w:pPr>
              <w:snapToGrid w:val="0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各子奖励贡献</w:t>
            </w:r>
          </w:p>
        </w:tc>
      </w:tr>
      <w:tr w14:paraId="68F0718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</w:trPr>
        <w:tc>
          <w:tcPr>
            <w:tcW w:w="751" w:type="dxa"/>
          </w:tcPr>
          <w:p w14:paraId="3FE6FD2F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补充</w:t>
            </w:r>
          </w:p>
        </w:tc>
        <w:tc>
          <w:tcPr>
            <w:tcW w:w="2510" w:type="dxa"/>
          </w:tcPr>
          <w:p w14:paraId="0FB62043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双视角→单视角</w:t>
            </w:r>
          </w:p>
        </w:tc>
        <w:tc>
          <w:tcPr>
            <w:tcW w:w="2693" w:type="dxa"/>
          </w:tcPr>
          <w:p w14:paraId="59005D71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仅PA输入</w:t>
            </w:r>
          </w:p>
        </w:tc>
        <w:tc>
          <w:tcPr>
            <w:tcW w:w="3402" w:type="dxa"/>
          </w:tcPr>
          <w:p w14:paraId="7E0D8D3E">
            <w:pPr>
              <w:snapToGrid w:val="0"/>
              <w:rPr>
                <w:rFonts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多视角工具的价值</w:t>
            </w:r>
          </w:p>
        </w:tc>
      </w:tr>
    </w:tbl>
    <w:p w14:paraId="3D0EFD65">
      <w:pPr>
        <w:snapToGrid w:val="0"/>
        <w:spacing w:line="360" w:lineRule="auto"/>
        <w:rPr>
          <w:rFonts w:ascii="仿宋" w:hAnsi="仿宋" w:eastAsia="仿宋"/>
          <w:szCs w:val="21"/>
        </w:rPr>
      </w:pPr>
    </w:p>
    <w:p w14:paraId="15ABDD40">
      <w:pPr>
        <w:snapToGrid w:val="0"/>
        <w:spacing w:line="360" w:lineRule="auto"/>
        <w:rPr>
          <w:rFonts w:hint="eastAsia" w:ascii="仿宋" w:hAnsi="仿宋" w:eastAsia="仿宋"/>
          <w:szCs w:val="21"/>
        </w:rPr>
      </w:pPr>
      <w:r>
        <w:rPr>
          <w:rFonts w:hint="eastAsia" w:ascii="仿宋" w:hAnsi="仿宋" w:eastAsia="仿宋"/>
          <w:szCs w:val="21"/>
        </w:rPr>
        <w:t>注意：标注“补充”的消融实验，放在“补充材料/su</w:t>
      </w:r>
      <w:r>
        <w:rPr>
          <w:rFonts w:ascii="仿宋" w:hAnsi="仿宋" w:eastAsia="仿宋"/>
          <w:szCs w:val="21"/>
        </w:rPr>
        <w:t>pplement</w:t>
      </w:r>
      <w:r>
        <w:rPr>
          <w:rFonts w:hint="eastAsia" w:ascii="仿宋" w:hAnsi="仿宋" w:eastAsia="仿宋"/>
          <w:szCs w:val="21"/>
        </w:rPr>
        <w:t>”</w:t>
      </w:r>
    </w:p>
    <w:p w14:paraId="7B28E9DA">
      <w:pPr>
        <w:snapToGrid w:val="0"/>
        <w:spacing w:line="360" w:lineRule="auto"/>
        <w:rPr>
          <w:rFonts w:hint="eastAsia" w:ascii="仿宋" w:hAnsi="仿宋" w:eastAsia="仿宋"/>
          <w:szCs w:val="21"/>
        </w:rPr>
      </w:pPr>
    </w:p>
    <w:p w14:paraId="1BC5E982">
      <w:pPr>
        <w:snapToGrid w:val="0"/>
        <w:spacing w:line="360" w:lineRule="auto"/>
        <w:outlineLvl w:val="0"/>
        <w:rPr>
          <w:rFonts w:ascii="仿宋" w:hAnsi="仿宋" w:eastAsia="仿宋"/>
          <w:b/>
          <w:bCs/>
          <w:sz w:val="24"/>
        </w:rPr>
      </w:pPr>
      <w:r>
        <w:rPr>
          <w:rFonts w:ascii="仿宋" w:hAnsi="仿宋" w:eastAsia="仿宋"/>
          <w:b/>
          <w:bCs/>
          <w:sz w:val="24"/>
        </w:rPr>
        <w:t>四、</w:t>
      </w:r>
      <w:r>
        <w:rPr>
          <w:rFonts w:hint="eastAsia" w:ascii="仿宋" w:hAnsi="仿宋" w:eastAsia="仿宋"/>
          <w:b/>
          <w:bCs/>
          <w:sz w:val="24"/>
        </w:rPr>
        <w:t>超参数实验</w:t>
      </w:r>
    </w:p>
    <w:p w14:paraId="129BD9D9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两阶段奖励权重调度分析：</w:t>
      </w:r>
      <w:r>
        <w:rPr>
          <w:rFonts w:hint="eastAsia" w:ascii="仿宋" w:hAnsi="仿宋" w:eastAsia="仿宋"/>
          <w:sz w:val="24"/>
        </w:rPr>
        <w:t>我们</w:t>
      </w:r>
      <w:r>
        <w:rPr>
          <w:rFonts w:ascii="仿宋" w:hAnsi="仿宋" w:eastAsia="仿宋"/>
          <w:sz w:val="24"/>
        </w:rPr>
        <w:t>设计了</w:t>
      </w:r>
      <w:r>
        <w:rPr>
          <w:rFonts w:ascii="仿宋" w:hAnsi="仿宋" w:eastAsia="仿宋"/>
          <w:sz w:val="24"/>
          <w:highlight w:val="yellow"/>
        </w:rPr>
        <w:t>前期“高多样性、低惩罚”→后期“高一致性、高惩罚”的课程调度</w:t>
      </w:r>
      <w:r>
        <w:rPr>
          <w:rFonts w:ascii="仿宋" w:hAnsi="仿宋" w:eastAsia="仿宋"/>
          <w:sz w:val="24"/>
        </w:rPr>
        <w:t>。画训练曲线对比图（固定调度vs.直接用收敛期权重vs.反向调度），展示P_misalign 和 R_quality 随训练步数的变化，证明课程策略避免过早收敛、降低最终幻觉。</w:t>
      </w:r>
    </w:p>
    <w:p w14:paraId="00012776">
      <w:pPr>
        <w:pStyle w:val="11"/>
        <w:numPr>
          <w:ilvl w:val="0"/>
          <w:numId w:val="4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超参敏感性：对 λ_mis ∈ {0.1, 0.2, 0.3, 0.5} 和 (w_s, w_d, w_c, w_j) 做网格/敏感性分析，报告 CE-F1与幻觉率随 λ_mis 的变化曲线</w:t>
      </w:r>
      <w:r>
        <w:rPr>
          <w:rFonts w:hint="eastAsia" w:ascii="仿宋" w:hAnsi="仿宋" w:eastAsia="仿宋"/>
          <w:sz w:val="24"/>
        </w:rPr>
        <w:t>，以展</w:t>
      </w:r>
      <w:r>
        <w:rPr>
          <w:rFonts w:ascii="仿宋" w:hAnsi="仿宋" w:eastAsia="仿宋"/>
          <w:sz w:val="24"/>
        </w:rPr>
        <w:t>示“惩罚强度-假阳性-漏诊”的权衡。</w:t>
      </w:r>
    </w:p>
    <w:p w14:paraId="4753943C">
      <w:pPr>
        <w:pStyle w:val="11"/>
        <w:numPr>
          <w:ilvl w:val="0"/>
          <w:numId w:val="4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case study（定性分析）：挑3-4个典型案例可视化完整推理轨迹T：</w:t>
      </w:r>
    </w:p>
    <w:p w14:paraId="6C6AAEBE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初筛产生假阳性假设 → 验证阶段被驳回（证明控假阳）</w:t>
      </w:r>
    </w:p>
    <w:p w14:paraId="53BE9AC5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初筛漏检 → 清单查漏阶段补回（证明防漏诊）</w:t>
      </w:r>
    </w:p>
    <w:p w14:paraId="52445932">
      <w:pPr>
        <w:snapToGrid w:val="0"/>
        <w:spacing w:line="360" w:lineRule="auto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工具矛盾 → 消歧过程</w:t>
      </w:r>
    </w:p>
    <w:p w14:paraId="231EC701">
      <w:pPr>
        <w:snapToGrid w:val="0"/>
        <w:spacing w:line="360" w:lineRule="auto"/>
        <w:rPr>
          <w:rFonts w:hint="eastAsia"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失败案例也</w:t>
      </w:r>
      <w:r>
        <w:rPr>
          <w:rFonts w:hint="eastAsia" w:ascii="仿宋" w:hAnsi="仿宋" w:eastAsia="仿宋"/>
          <w:sz w:val="24"/>
        </w:rPr>
        <w:t>可以</w:t>
      </w:r>
      <w:r>
        <w:rPr>
          <w:rFonts w:ascii="仿宋" w:hAnsi="仿宋" w:eastAsia="仿宋"/>
          <w:sz w:val="24"/>
        </w:rPr>
        <w:t>放1个</w:t>
      </w:r>
      <w:r>
        <w:rPr>
          <w:rFonts w:hint="eastAsia" w:ascii="仿宋" w:hAnsi="仿宋" w:eastAsia="仿宋"/>
          <w:sz w:val="24"/>
        </w:rPr>
        <w:t>【让步的方式表明我们模型的特点】</w:t>
      </w:r>
    </w:p>
    <w:p w14:paraId="6EC54428">
      <w:pPr>
        <w:pStyle w:val="11"/>
        <w:numPr>
          <w:ilvl w:val="0"/>
          <w:numId w:val="5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推理轨迹审查：统计轨迹长度、工具调用序列分布（前后训练期对比的直方图/桑基图），展示策略模型学会“先粗筛再定向验证”的合理规划模式。</w:t>
      </w:r>
    </w:p>
    <w:p w14:paraId="20D4A7B9">
      <w:pPr>
        <w:pStyle w:val="11"/>
        <w:numPr>
          <w:ilvl w:val="0"/>
          <w:numId w:val="5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效率分析：单例推理时间、token开销 vs. 端到端模型；RL训练开销（LoRA下150步）。</w:t>
      </w:r>
    </w:p>
    <w:p w14:paraId="19331AFB">
      <w:pPr>
        <w:pStyle w:val="11"/>
        <w:numPr>
          <w:ilvl w:val="0"/>
          <w:numId w:val="5"/>
        </w:numPr>
        <w:snapToGrid w:val="0"/>
        <w:spacing w:line="360" w:lineRule="auto"/>
        <w:ind w:firstLineChars="0"/>
        <w:rPr>
          <w:rFonts w:ascii="仿宋" w:hAnsi="仿宋" w:eastAsia="仿宋"/>
          <w:sz w:val="24"/>
        </w:rPr>
      </w:pPr>
      <w:r>
        <w:rPr>
          <w:rFonts w:ascii="仿宋" w:hAnsi="仿宋" w:eastAsia="仿宋"/>
          <w:sz w:val="24"/>
        </w:rPr>
        <w:t>基座模型规模消融：Qwen3-4B / 8B / 14B，说明方法可扩展性。</w:t>
      </w:r>
    </w:p>
    <w:p w14:paraId="52C7C509">
      <w:pPr>
        <w:snapToGrid w:val="0"/>
        <w:spacing w:line="360" w:lineRule="auto"/>
        <w:rPr>
          <w:rFonts w:hint="eastAsia" w:ascii="仿宋" w:hAnsi="仿宋" w:eastAsia="仿宋"/>
          <w:sz w:val="24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A50AE3"/>
    <w:multiLevelType w:val="multilevel"/>
    <w:tmpl w:val="1DA50AE3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41910EE"/>
    <w:multiLevelType w:val="multilevel"/>
    <w:tmpl w:val="541910E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5F57659A"/>
    <w:multiLevelType w:val="multilevel"/>
    <w:tmpl w:val="5F57659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694B2027"/>
    <w:multiLevelType w:val="multilevel"/>
    <w:tmpl w:val="694B202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A52000F"/>
    <w:multiLevelType w:val="multilevel"/>
    <w:tmpl w:val="7A5200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D3"/>
    <w:rsid w:val="00016001"/>
    <w:rsid w:val="001A4196"/>
    <w:rsid w:val="001D65E7"/>
    <w:rsid w:val="00211370"/>
    <w:rsid w:val="002521ED"/>
    <w:rsid w:val="0028618C"/>
    <w:rsid w:val="00316175"/>
    <w:rsid w:val="0039272B"/>
    <w:rsid w:val="004C0DEC"/>
    <w:rsid w:val="00585766"/>
    <w:rsid w:val="006660B7"/>
    <w:rsid w:val="00704FFA"/>
    <w:rsid w:val="00707DB0"/>
    <w:rsid w:val="008B5B77"/>
    <w:rsid w:val="00A07FF5"/>
    <w:rsid w:val="00AA5291"/>
    <w:rsid w:val="00AB7CD3"/>
    <w:rsid w:val="00AE68C5"/>
    <w:rsid w:val="00B46433"/>
    <w:rsid w:val="00BC30F7"/>
    <w:rsid w:val="00C769A1"/>
    <w:rsid w:val="00CC5420"/>
    <w:rsid w:val="00CC5EA7"/>
    <w:rsid w:val="00CF6640"/>
    <w:rsid w:val="00DD1E79"/>
    <w:rsid w:val="00E3594B"/>
    <w:rsid w:val="00E908D4"/>
    <w:rsid w:val="00EF5FDF"/>
    <w:rsid w:val="00FE3DE1"/>
    <w:rsid w:val="1D4C4BF1"/>
    <w:rsid w:val="30DC0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link w:val="9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3"/>
    <w:basedOn w:val="1"/>
    <w:link w:val="10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22"/>
    <w:rPr>
      <w:b/>
      <w:bCs/>
    </w:rPr>
  </w:style>
  <w:style w:type="character" w:customStyle="1" w:styleId="9">
    <w:name w:val="标题 2 字符"/>
    <w:basedOn w:val="7"/>
    <w:link w:val="2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10">
    <w:name w:val="标题 3 字符"/>
    <w:basedOn w:val="7"/>
    <w:link w:val="3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1242</Words>
  <Characters>1812</Characters>
  <Lines>14</Lines>
  <Paragraphs>3</Paragraphs>
  <TotalTime>584</TotalTime>
  <ScaleCrop>false</ScaleCrop>
  <LinksUpToDate>false</LinksUpToDate>
  <CharactersWithSpaces>1885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2026-08-30T06:26:00Z</dcterms:created>
  <dc:creator>2571270136@qq.com</dc:creator>
  <cp:lastModifiedBy>D源A于Q</cp:lastModifiedBy>
  <dcterms:modified xsi:type="dcterms:W3CDTF">2026-09-21T09:18:23Z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eyJoZGlkIjoiODQwNTFmY2Y2NjkxY2I1NWRlN2Q5OTg0MjFlMGEwODkiLCJ1c2VySWQiOiIxMjU4NjgyMDMzIn0=</vt:lpwstr>
  </property>
  <property fmtid="{D5CDD505-2E9C-101B-9397-08002B2CF9AE}" pid="3" name="KSOProductBuildVer">
    <vt:lpwstr>2052-12.1.0.28505</vt:lpwstr>
  </property>
  <property fmtid="{D5CDD505-2E9C-101B-9397-08002B2CF9AE}" pid="4" name="ICV">
    <vt:lpwstr>AF9ACDBC27014413B76589309D612818_12</vt:lpwstr>
  </property>
</Properties>
</file>