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CED003" w14:textId="53789396" w:rsidR="00E9059C" w:rsidRPr="00D467F3" w:rsidRDefault="00E9059C" w:rsidP="00D467F3">
      <w:pPr>
        <w:pStyle w:val="Ttulo1"/>
        <w:rPr>
          <w:b/>
          <w:color w:val="385623" w:themeColor="accent6" w:themeShade="80"/>
          <w:sz w:val="28"/>
          <w:szCs w:val="28"/>
        </w:rPr>
      </w:pPr>
      <w:bookmarkStart w:id="0" w:name="_Toc240119467"/>
      <w:r w:rsidRPr="00D467F3">
        <w:rPr>
          <w:b/>
          <w:color w:val="385623" w:themeColor="accent6" w:themeShade="80"/>
          <w:sz w:val="28"/>
          <w:szCs w:val="28"/>
        </w:rPr>
        <w:t>PORTADA</w:t>
      </w:r>
      <w:bookmarkEnd w:id="0"/>
    </w:p>
    <w:p w14:paraId="53C2BE7A" w14:textId="7112381E" w:rsidR="00E9059C" w:rsidRDefault="00E9059C" w:rsidP="00E9059C"/>
    <w:p w14:paraId="62FFC305" w14:textId="08E974DB" w:rsidR="00E9059C" w:rsidRDefault="00E9059C" w:rsidP="00E9059C"/>
    <w:p w14:paraId="7F34A775" w14:textId="3BA5AF7C" w:rsidR="00E9059C" w:rsidRDefault="00E9059C" w:rsidP="00E9059C">
      <w:pPr>
        <w:jc w:val="center"/>
        <w:rPr>
          <w:b/>
          <w:color w:val="385623" w:themeColor="accent6" w:themeShade="80"/>
          <w:sz w:val="28"/>
          <w:szCs w:val="28"/>
        </w:rPr>
      </w:pPr>
      <w:r>
        <w:rPr>
          <w:b/>
          <w:color w:val="385623" w:themeColor="accent6" w:themeShade="80"/>
          <w:sz w:val="28"/>
          <w:szCs w:val="28"/>
        </w:rPr>
        <w:t>ANGEL QUIÑONES</w:t>
      </w:r>
    </w:p>
    <w:p w14:paraId="5E49F838" w14:textId="56C463D2" w:rsidR="00E9059C" w:rsidRDefault="00E9059C" w:rsidP="00E9059C">
      <w:pPr>
        <w:jc w:val="center"/>
        <w:rPr>
          <w:b/>
          <w:color w:val="385623" w:themeColor="accent6" w:themeShade="80"/>
          <w:sz w:val="28"/>
          <w:szCs w:val="28"/>
        </w:rPr>
      </w:pPr>
    </w:p>
    <w:p w14:paraId="47364335" w14:textId="07BD32E1" w:rsidR="00E9059C" w:rsidRDefault="00E9059C" w:rsidP="00E9059C">
      <w:pPr>
        <w:jc w:val="center"/>
        <w:rPr>
          <w:b/>
          <w:color w:val="385623" w:themeColor="accent6" w:themeShade="80"/>
          <w:sz w:val="28"/>
          <w:szCs w:val="28"/>
        </w:rPr>
      </w:pPr>
    </w:p>
    <w:p w14:paraId="0055A76D" w14:textId="7F06FC47" w:rsidR="00E9059C" w:rsidRDefault="00E9059C" w:rsidP="00E9059C">
      <w:pPr>
        <w:jc w:val="center"/>
        <w:rPr>
          <w:b/>
          <w:color w:val="385623" w:themeColor="accent6" w:themeShade="80"/>
          <w:sz w:val="28"/>
          <w:szCs w:val="28"/>
        </w:rPr>
      </w:pPr>
      <w:r>
        <w:rPr>
          <w:b/>
          <w:color w:val="385623" w:themeColor="accent6" w:themeShade="80"/>
          <w:sz w:val="28"/>
          <w:szCs w:val="28"/>
        </w:rPr>
        <w:t>ANALISIS Y DESARROLLO DE SOFTWARE</w:t>
      </w:r>
    </w:p>
    <w:p w14:paraId="4A092521" w14:textId="5BE24E36" w:rsidR="00E9059C" w:rsidRDefault="00E9059C" w:rsidP="00E9059C">
      <w:pPr>
        <w:jc w:val="center"/>
        <w:rPr>
          <w:b/>
          <w:color w:val="385623" w:themeColor="accent6" w:themeShade="80"/>
          <w:sz w:val="28"/>
          <w:szCs w:val="28"/>
        </w:rPr>
      </w:pPr>
    </w:p>
    <w:p w14:paraId="13DF44B0" w14:textId="775AC9F5" w:rsidR="00E9059C" w:rsidRDefault="00E9059C" w:rsidP="00E9059C">
      <w:pPr>
        <w:jc w:val="center"/>
        <w:rPr>
          <w:b/>
          <w:color w:val="385623" w:themeColor="accent6" w:themeShade="80"/>
          <w:sz w:val="28"/>
          <w:szCs w:val="28"/>
        </w:rPr>
      </w:pPr>
    </w:p>
    <w:p w14:paraId="5B3E97A3" w14:textId="0B4C3CA8" w:rsidR="00E9059C" w:rsidRDefault="00E9059C" w:rsidP="00E9059C">
      <w:pPr>
        <w:jc w:val="center"/>
        <w:rPr>
          <w:b/>
          <w:color w:val="385623" w:themeColor="accent6" w:themeShade="80"/>
          <w:sz w:val="28"/>
          <w:szCs w:val="28"/>
        </w:rPr>
      </w:pPr>
    </w:p>
    <w:p w14:paraId="06BFB6DA" w14:textId="52077511" w:rsidR="00E9059C" w:rsidRDefault="00E9059C" w:rsidP="00E9059C">
      <w:pPr>
        <w:jc w:val="center"/>
        <w:rPr>
          <w:b/>
          <w:color w:val="385623" w:themeColor="accent6" w:themeShade="80"/>
          <w:sz w:val="28"/>
          <w:szCs w:val="28"/>
        </w:rPr>
      </w:pPr>
      <w:r>
        <w:rPr>
          <w:b/>
          <w:color w:val="385623" w:themeColor="accent6" w:themeShade="80"/>
          <w:sz w:val="28"/>
          <w:szCs w:val="28"/>
        </w:rPr>
        <w:t>FICHA 3229339 TARDE</w:t>
      </w:r>
    </w:p>
    <w:p w14:paraId="0322DC14" w14:textId="6B61A901" w:rsidR="00E9059C" w:rsidRDefault="00E9059C" w:rsidP="00E9059C">
      <w:pPr>
        <w:jc w:val="center"/>
        <w:rPr>
          <w:b/>
          <w:color w:val="385623" w:themeColor="accent6" w:themeShade="80"/>
          <w:sz w:val="28"/>
          <w:szCs w:val="28"/>
        </w:rPr>
      </w:pPr>
    </w:p>
    <w:p w14:paraId="1C9D7EFC" w14:textId="611D3813" w:rsidR="00E9059C" w:rsidRDefault="00E9059C" w:rsidP="00E9059C">
      <w:pPr>
        <w:jc w:val="center"/>
        <w:rPr>
          <w:b/>
          <w:color w:val="385623" w:themeColor="accent6" w:themeShade="80"/>
          <w:sz w:val="28"/>
          <w:szCs w:val="28"/>
        </w:rPr>
      </w:pPr>
    </w:p>
    <w:p w14:paraId="38FD2963" w14:textId="25BEF848" w:rsidR="00E9059C" w:rsidRDefault="00E9059C" w:rsidP="00E9059C">
      <w:pPr>
        <w:jc w:val="center"/>
        <w:rPr>
          <w:b/>
          <w:color w:val="385623" w:themeColor="accent6" w:themeShade="80"/>
          <w:sz w:val="28"/>
          <w:szCs w:val="28"/>
        </w:rPr>
      </w:pPr>
    </w:p>
    <w:p w14:paraId="2A47B268" w14:textId="4238E31C" w:rsidR="00E9059C" w:rsidRDefault="0077187C" w:rsidP="00E9059C">
      <w:pPr>
        <w:jc w:val="center"/>
        <w:rPr>
          <w:b/>
          <w:color w:val="385623" w:themeColor="accent6" w:themeShade="80"/>
          <w:sz w:val="28"/>
          <w:szCs w:val="28"/>
        </w:rPr>
      </w:pPr>
      <w:r>
        <w:rPr>
          <w:b/>
          <w:color w:val="385623" w:themeColor="accent6" w:themeShade="80"/>
          <w:sz w:val="28"/>
          <w:szCs w:val="28"/>
        </w:rPr>
        <w:t>SEGURIDAD Y SALUD EN EL TRABAJO</w:t>
      </w:r>
    </w:p>
    <w:p w14:paraId="0C7B4D6D" w14:textId="77777777" w:rsidR="0077187C" w:rsidRDefault="0077187C" w:rsidP="00E9059C">
      <w:pPr>
        <w:jc w:val="center"/>
        <w:rPr>
          <w:b/>
          <w:color w:val="385623" w:themeColor="accent6" w:themeShade="80"/>
          <w:sz w:val="28"/>
          <w:szCs w:val="28"/>
        </w:rPr>
      </w:pPr>
    </w:p>
    <w:p w14:paraId="4B2554C9" w14:textId="7232833A" w:rsidR="0077187C" w:rsidRDefault="0077187C" w:rsidP="00E9059C">
      <w:pPr>
        <w:jc w:val="center"/>
        <w:rPr>
          <w:b/>
          <w:color w:val="385623" w:themeColor="accent6" w:themeShade="80"/>
          <w:sz w:val="28"/>
          <w:szCs w:val="28"/>
        </w:rPr>
      </w:pPr>
    </w:p>
    <w:p w14:paraId="16E12A9B" w14:textId="572C2A63" w:rsidR="0077187C" w:rsidRDefault="0077187C" w:rsidP="00E9059C">
      <w:pPr>
        <w:jc w:val="center"/>
        <w:rPr>
          <w:b/>
          <w:color w:val="385623" w:themeColor="accent6" w:themeShade="80"/>
          <w:sz w:val="28"/>
          <w:szCs w:val="28"/>
        </w:rPr>
      </w:pPr>
    </w:p>
    <w:p w14:paraId="54630D00" w14:textId="5457AA9B" w:rsidR="0077187C" w:rsidRPr="00E9059C" w:rsidRDefault="0077187C" w:rsidP="00E9059C">
      <w:pPr>
        <w:jc w:val="center"/>
        <w:rPr>
          <w:b/>
          <w:color w:val="385623" w:themeColor="accent6" w:themeShade="80"/>
          <w:sz w:val="28"/>
          <w:szCs w:val="28"/>
        </w:rPr>
      </w:pPr>
      <w:r>
        <w:rPr>
          <w:b/>
          <w:color w:val="385623" w:themeColor="accent6" w:themeShade="80"/>
          <w:sz w:val="28"/>
          <w:szCs w:val="28"/>
        </w:rPr>
        <w:t>SENA COMPLEJA SUR ITAGUI CDMC</w:t>
      </w:r>
    </w:p>
    <w:p w14:paraId="2A799EC1" w14:textId="16CC0AB0" w:rsidR="00E9059C" w:rsidRDefault="00E9059C" w:rsidP="00E9059C"/>
    <w:p w14:paraId="34701B90" w14:textId="5184A5A6" w:rsidR="00E9059C" w:rsidRPr="00E9059C" w:rsidRDefault="00E9059C" w:rsidP="00E9059C"/>
    <w:p w14:paraId="10A33424" w14:textId="601410C8" w:rsidR="00E9059C" w:rsidRDefault="00E9059C" w:rsidP="00E9059C"/>
    <w:p w14:paraId="7CD4C256" w14:textId="09305CD9" w:rsidR="00E9059C" w:rsidRDefault="00E9059C" w:rsidP="00E9059C"/>
    <w:p w14:paraId="1F66B133" w14:textId="77777777" w:rsidR="00E9059C" w:rsidRPr="00E9059C" w:rsidRDefault="00E9059C" w:rsidP="00E9059C"/>
    <w:p w14:paraId="1EE894CB" w14:textId="5BA0FA4C" w:rsidR="00E9059C" w:rsidRDefault="00E9059C" w:rsidP="00E9059C"/>
    <w:p w14:paraId="49AF2B8C" w14:textId="7155F88E" w:rsidR="00E9059C" w:rsidRDefault="00E9059C" w:rsidP="00E9059C"/>
    <w:p w14:paraId="0A2D5501" w14:textId="7F09BBE7" w:rsidR="0077187C" w:rsidRPr="00D467F3" w:rsidRDefault="0077187C" w:rsidP="00D467F3">
      <w:pPr>
        <w:pStyle w:val="Ttulo1"/>
        <w:rPr>
          <w:b/>
          <w:color w:val="385623" w:themeColor="accent6" w:themeShade="80"/>
          <w:sz w:val="28"/>
          <w:szCs w:val="28"/>
        </w:rPr>
      </w:pPr>
      <w:bookmarkStart w:id="1" w:name="_Toc240119468"/>
      <w:r w:rsidRPr="00D467F3">
        <w:rPr>
          <w:b/>
          <w:color w:val="385623" w:themeColor="accent6" w:themeShade="80"/>
          <w:sz w:val="28"/>
          <w:szCs w:val="28"/>
        </w:rPr>
        <w:lastRenderedPageBreak/>
        <w:t>CONTENIDOS</w:t>
      </w:r>
      <w:bookmarkEnd w:id="1"/>
    </w:p>
    <w:p w14:paraId="337A8A59" w14:textId="7F1A54DD" w:rsidR="00D467F3" w:rsidRDefault="00D467F3" w:rsidP="00D467F3">
      <w:bookmarkStart w:id="2" w:name="_GoBack"/>
    </w:p>
    <w:bookmarkEnd w:id="2" w:displacedByCustomXml="next"/>
    <w:sdt>
      <w:sdtPr>
        <w:rPr>
          <w:lang w:val="es-ES"/>
        </w:rPr>
        <w:id w:val="34452604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5C5595FB" w14:textId="381D0580" w:rsidR="00D467F3" w:rsidRDefault="00D467F3">
          <w:pPr>
            <w:pStyle w:val="TtuloTDC"/>
          </w:pPr>
          <w:r>
            <w:rPr>
              <w:lang w:val="es-ES"/>
            </w:rPr>
            <w:t>Contenido</w:t>
          </w:r>
        </w:p>
        <w:p w14:paraId="5CA7BEB6" w14:textId="2019F25C" w:rsidR="00D467F3" w:rsidRDefault="00D467F3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119467" w:history="1">
            <w:r w:rsidRPr="00471B64">
              <w:rPr>
                <w:rStyle w:val="Hipervnculo"/>
                <w:b/>
                <w:noProof/>
                <w:color w:val="023160" w:themeColor="hyperlink" w:themeShade="80"/>
              </w:rPr>
              <w:t>PORTADA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_Toc240119467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C46ED" w14:textId="7EAE1D41" w:rsidR="00D467F3" w:rsidRDefault="00D467F3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119468" w:history="1">
            <w:r w:rsidRPr="00471B64">
              <w:rPr>
                <w:rStyle w:val="Hipervnculo"/>
                <w:b/>
                <w:noProof/>
                <w:color w:val="023160" w:themeColor="hyperlink" w:themeShade="80"/>
              </w:rPr>
              <w:t>CONTENIDOS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_Toc240119468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9C0C6" w14:textId="1A38B2DB" w:rsidR="00D467F3" w:rsidRDefault="00D467F3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119469" w:history="1">
            <w:r w:rsidRPr="00471B64">
              <w:rPr>
                <w:rStyle w:val="Hipervnculo"/>
                <w:b/>
                <w:noProof/>
                <w:color w:val="023160" w:themeColor="hyperlink" w:themeShade="80"/>
              </w:rPr>
              <w:t>PARTE 2: Informe Detallado del Caso Deepwater Horizon (BP, 2010)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_Toc240119469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53B20" w14:textId="3AA61C7A" w:rsidR="00D467F3" w:rsidRDefault="00D467F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0119470" w:history="1">
            <w:r w:rsidRPr="00471B64">
              <w:rPr>
                <w:rStyle w:val="Hipervnculo"/>
                <w:b/>
                <w:noProof/>
                <w:color w:val="023160" w:themeColor="hyperlink" w:themeShade="80"/>
              </w:rPr>
              <w:t>Factores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_Toc240119470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A3A9B" w14:textId="54D41653" w:rsidR="00D467F3" w:rsidRDefault="00D467F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0119471" w:history="1">
            <w:r w:rsidRPr="00471B64">
              <w:rPr>
                <w:rStyle w:val="Hipervnculo"/>
                <w:b/>
                <w:noProof/>
                <w:color w:val="023160" w:themeColor="hyperlink" w:themeShade="80"/>
              </w:rPr>
              <w:t>Factores Humanos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_Toc240119471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70913" w14:textId="0A7DA9AB" w:rsidR="00D467F3" w:rsidRDefault="00D467F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0119472" w:history="1">
            <w:r w:rsidRPr="00471B64">
              <w:rPr>
                <w:rStyle w:val="Hipervnculo"/>
                <w:b/>
                <w:noProof/>
                <w:color w:val="023160" w:themeColor="hyperlink" w:themeShade="80"/>
              </w:rPr>
              <w:t>Falta de Regulación o Supervisión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_Toc240119472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403A7" w14:textId="18333A1C" w:rsidR="00D467F3" w:rsidRDefault="00D467F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0119473" w:history="1">
            <w:r w:rsidRPr="00471B64">
              <w:rPr>
                <w:rStyle w:val="Hipervnculo"/>
                <w:b/>
                <w:noProof/>
                <w:color w:val="023160" w:themeColor="hyperlink" w:themeShade="80"/>
              </w:rPr>
              <w:t>Impacto Ambiental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_Toc240119473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D1122" w14:textId="0F85677A" w:rsidR="00D467F3" w:rsidRDefault="00D467F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0119474" w:history="1">
            <w:r w:rsidRPr="00471B64">
              <w:rPr>
                <w:rStyle w:val="Hipervnculo"/>
                <w:b/>
                <w:noProof/>
                <w:color w:val="023160" w:themeColor="hyperlink" w:themeShade="80"/>
              </w:rPr>
              <w:t>Efectos en la Salud de los Trabajadores y Comunidades Cercanas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_Toc240119474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79F70" w14:textId="5EC23CEA" w:rsidR="00D467F3" w:rsidRDefault="00D467F3">
          <w:r>
            <w:rPr>
              <w:b/>
              <w:bCs/>
              <w:lang w:val="es-ES"/>
            </w:rPr>
            <w:fldChar w:fldCharType="end"/>
          </w:r>
        </w:p>
      </w:sdtContent>
    </w:sdt>
    <w:p w14:paraId="3036AF00" w14:textId="77777777" w:rsidR="00D467F3" w:rsidRPr="00D467F3" w:rsidRDefault="00D467F3" w:rsidP="00D467F3"/>
    <w:p w14:paraId="621899FA" w14:textId="64D80940" w:rsidR="0077187C" w:rsidRDefault="0077187C" w:rsidP="0077187C"/>
    <w:p w14:paraId="4EE7B8A3" w14:textId="2AA31DA2" w:rsidR="0077187C" w:rsidRDefault="0077187C" w:rsidP="0077187C"/>
    <w:p w14:paraId="4EB49037" w14:textId="000D68F3" w:rsidR="0077187C" w:rsidRDefault="0077187C" w:rsidP="0077187C"/>
    <w:p w14:paraId="1D7FD306" w14:textId="4BCF4F1E" w:rsidR="0077187C" w:rsidRDefault="0077187C" w:rsidP="0077187C"/>
    <w:p w14:paraId="6B1B1361" w14:textId="08C35625" w:rsidR="0077187C" w:rsidRDefault="0077187C" w:rsidP="0077187C"/>
    <w:p w14:paraId="48CC7E1E" w14:textId="680F12F9" w:rsidR="0077187C" w:rsidRDefault="0077187C" w:rsidP="0077187C"/>
    <w:p w14:paraId="2557BEA3" w14:textId="3239476F" w:rsidR="0077187C" w:rsidRDefault="0077187C" w:rsidP="0077187C"/>
    <w:p w14:paraId="5A764D75" w14:textId="07865D12" w:rsidR="0077187C" w:rsidRDefault="0077187C" w:rsidP="0077187C"/>
    <w:p w14:paraId="48AD2DAA" w14:textId="36BDC074" w:rsidR="0077187C" w:rsidRDefault="0077187C" w:rsidP="0077187C"/>
    <w:p w14:paraId="288CF8FC" w14:textId="4338A307" w:rsidR="0077187C" w:rsidRDefault="0077187C" w:rsidP="0077187C"/>
    <w:p w14:paraId="6ED32852" w14:textId="35BEB765" w:rsidR="0077187C" w:rsidRDefault="0077187C" w:rsidP="0077187C"/>
    <w:p w14:paraId="708E5CDA" w14:textId="208D1C1F" w:rsidR="0077187C" w:rsidRDefault="0077187C" w:rsidP="0077187C"/>
    <w:p w14:paraId="607C8DBA" w14:textId="255608D1" w:rsidR="0077187C" w:rsidRDefault="0077187C" w:rsidP="0077187C"/>
    <w:p w14:paraId="709CF125" w14:textId="4FDC139F" w:rsidR="0077187C" w:rsidRDefault="0077187C" w:rsidP="0077187C"/>
    <w:p w14:paraId="48E9AC47" w14:textId="478300C0" w:rsidR="0077187C" w:rsidRDefault="0077187C" w:rsidP="0077187C"/>
    <w:p w14:paraId="07C0A13E" w14:textId="03F672B0" w:rsidR="0077187C" w:rsidRDefault="0077187C" w:rsidP="0077187C"/>
    <w:p w14:paraId="209A6F07" w14:textId="5FA23602" w:rsidR="0077187C" w:rsidRDefault="0077187C" w:rsidP="0077187C"/>
    <w:p w14:paraId="6CFEDC17" w14:textId="084E57BE" w:rsidR="0077187C" w:rsidRDefault="0077187C" w:rsidP="0077187C"/>
    <w:p w14:paraId="4088D164" w14:textId="5BD5BA19" w:rsidR="0077187C" w:rsidRDefault="0077187C" w:rsidP="0077187C"/>
    <w:p w14:paraId="315149F1" w14:textId="168E7BDE" w:rsidR="0077187C" w:rsidRDefault="0077187C" w:rsidP="0077187C"/>
    <w:p w14:paraId="7332BAE7" w14:textId="7C392627" w:rsidR="0077187C" w:rsidRDefault="0077187C" w:rsidP="0077187C"/>
    <w:p w14:paraId="37799849" w14:textId="4ED3F492" w:rsidR="0077187C" w:rsidRDefault="0077187C" w:rsidP="0077187C"/>
    <w:p w14:paraId="345A6CE4" w14:textId="0C10373B" w:rsidR="0077187C" w:rsidRDefault="0077187C" w:rsidP="0077187C"/>
    <w:p w14:paraId="65238216" w14:textId="1E4273EA" w:rsidR="0077187C" w:rsidRDefault="0077187C" w:rsidP="0077187C"/>
    <w:p w14:paraId="76659D63" w14:textId="3353E6D0" w:rsidR="0077187C" w:rsidRDefault="0077187C" w:rsidP="0077187C"/>
    <w:p w14:paraId="34CA792D" w14:textId="5697955A" w:rsidR="0077187C" w:rsidRDefault="0077187C" w:rsidP="0077187C"/>
    <w:p w14:paraId="10498E04" w14:textId="70D9EDA4" w:rsidR="0077187C" w:rsidRDefault="0077187C" w:rsidP="0077187C"/>
    <w:p w14:paraId="682FED0E" w14:textId="11A60F26" w:rsidR="0077187C" w:rsidRDefault="0077187C" w:rsidP="0077187C"/>
    <w:p w14:paraId="2A9FEF36" w14:textId="129AC571" w:rsidR="0077187C" w:rsidRPr="00D467F3" w:rsidRDefault="0077187C" w:rsidP="00D467F3">
      <w:pPr>
        <w:pStyle w:val="Ttulo1"/>
        <w:rPr>
          <w:b/>
          <w:color w:val="385623" w:themeColor="accent6" w:themeShade="80"/>
          <w:sz w:val="28"/>
          <w:szCs w:val="28"/>
        </w:rPr>
      </w:pPr>
      <w:bookmarkStart w:id="3" w:name="_Toc240119469"/>
      <w:r w:rsidRPr="00D467F3">
        <w:rPr>
          <w:b/>
          <w:color w:val="385623" w:themeColor="accent6" w:themeShade="80"/>
          <w:sz w:val="28"/>
          <w:szCs w:val="28"/>
        </w:rPr>
        <w:t>PARTE 2: Informe Detallado del Caso Deepwater Horizon (BP, 2010)</w:t>
      </w:r>
      <w:bookmarkEnd w:id="3"/>
    </w:p>
    <w:p w14:paraId="56953F84" w14:textId="61647618" w:rsidR="0077187C" w:rsidRDefault="0077187C" w:rsidP="0077187C"/>
    <w:p w14:paraId="66136DC7" w14:textId="77777777" w:rsidR="0077187C" w:rsidRDefault="0077187C" w:rsidP="0077187C"/>
    <w:p w14:paraId="6D0357EC" w14:textId="63953C83" w:rsidR="002F6DAD" w:rsidRPr="00D467F3" w:rsidRDefault="0077187C" w:rsidP="00D467F3">
      <w:pPr>
        <w:pStyle w:val="Ttulo2"/>
        <w:rPr>
          <w:b/>
          <w:color w:val="385623" w:themeColor="accent6" w:themeShade="80"/>
          <w:sz w:val="24"/>
          <w:szCs w:val="24"/>
        </w:rPr>
      </w:pPr>
      <w:bookmarkStart w:id="4" w:name="_Toc240119470"/>
      <w:r w:rsidRPr="00D467F3">
        <w:rPr>
          <w:b/>
          <w:color w:val="385623" w:themeColor="accent6" w:themeShade="80"/>
          <w:sz w:val="24"/>
          <w:szCs w:val="24"/>
        </w:rPr>
        <w:t>Factores Técnicos</w:t>
      </w:r>
      <w:bookmarkEnd w:id="4"/>
    </w:p>
    <w:p w14:paraId="6E754126" w14:textId="23514B6A" w:rsidR="002F6DAD" w:rsidRDefault="002F6DAD" w:rsidP="00E9059C">
      <w:pPr>
        <w:rPr>
          <w:b/>
          <w:color w:val="385623" w:themeColor="accent6" w:themeShade="80"/>
          <w:sz w:val="28"/>
          <w:szCs w:val="28"/>
        </w:rPr>
      </w:pPr>
    </w:p>
    <w:p w14:paraId="1A98249D" w14:textId="77777777" w:rsidR="002F6DAD" w:rsidRDefault="002F6DAD" w:rsidP="002F6DA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Falla en el cementado del pozo:</w:t>
      </w:r>
      <w:r>
        <w:t xml:space="preserve"> El sello de cemento en la base del pozo no aisló adecuadamente los hidrocarburos, permitiendo que el gas metano subiera a la superficie.</w:t>
      </w:r>
    </w:p>
    <w:p w14:paraId="59C14E23" w14:textId="77777777" w:rsidR="002F6DAD" w:rsidRDefault="002F6DAD" w:rsidP="002F6DA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Fallo del dispositivo de prevención de reventones (BOP - Blowout Preventer):</w:t>
      </w:r>
      <w:r>
        <w:t xml:space="preserve"> La válvula de seguridad submarina situada en el lecho marino (a 1.525 metros de profundidad) falló en sellar automáticamente el pozo tras la liberación de gas.</w:t>
      </w:r>
    </w:p>
    <w:p w14:paraId="67DF69E8" w14:textId="00EED748" w:rsidR="002F6DAD" w:rsidRDefault="002F6DAD" w:rsidP="002F6DA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Monitoreo e interpretación errónea de pruebas de presión:</w:t>
      </w:r>
      <w:r>
        <w:t xml:space="preserve"> Se ignoraron lecturas anómalas de alta presión previo a la explosión.</w:t>
      </w:r>
    </w:p>
    <w:p w14:paraId="65C58B25" w14:textId="6677E7CD" w:rsidR="002F6DAD" w:rsidRDefault="002F6DAD" w:rsidP="002F6DAD">
      <w:pPr>
        <w:pStyle w:val="NormalWeb"/>
      </w:pPr>
    </w:p>
    <w:p w14:paraId="24D6B12F" w14:textId="04C88F04" w:rsidR="002F6DAD" w:rsidRPr="00D467F3" w:rsidRDefault="002F6DAD" w:rsidP="00D467F3">
      <w:pPr>
        <w:pStyle w:val="Ttulo2"/>
        <w:rPr>
          <w:b/>
          <w:color w:val="385623" w:themeColor="accent6" w:themeShade="80"/>
          <w:sz w:val="24"/>
          <w:szCs w:val="24"/>
        </w:rPr>
      </w:pPr>
      <w:bookmarkStart w:id="5" w:name="_Toc240119471"/>
      <w:r w:rsidRPr="00D467F3">
        <w:rPr>
          <w:b/>
          <w:color w:val="385623" w:themeColor="accent6" w:themeShade="80"/>
          <w:sz w:val="24"/>
          <w:szCs w:val="24"/>
        </w:rPr>
        <w:t>Factores Humanos</w:t>
      </w:r>
      <w:bookmarkEnd w:id="5"/>
    </w:p>
    <w:p w14:paraId="1D2336B7" w14:textId="6AF6CF0A" w:rsidR="002F6DAD" w:rsidRDefault="002F6DAD" w:rsidP="002F6DAD"/>
    <w:p w14:paraId="7913D451" w14:textId="77777777" w:rsidR="002F6DAD" w:rsidRDefault="002F6DAD" w:rsidP="002F6DA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Toma de decisiones apresurada:</w:t>
      </w:r>
      <w:r>
        <w:t xml:space="preserve"> Priorización de la reducción de costos y cumplimiento de cronogramas retrasados (el proyecto acumulaba demoras significativas y pérdidas económicas diarias).</w:t>
      </w:r>
    </w:p>
    <w:p w14:paraId="08C52C0D" w14:textId="77777777" w:rsidR="002F6DAD" w:rsidRDefault="002F6DAD" w:rsidP="002F6DAD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Falta de comunicación:</w:t>
      </w:r>
      <w:r>
        <w:t xml:space="preserve"> Deficiente coordinación entre el personal en la plataforma y los ingenieros en tierra sobre las anomalías observadas en los ensayos de cementación.</w:t>
      </w:r>
    </w:p>
    <w:p w14:paraId="0F37B5AF" w14:textId="6741AE93" w:rsidR="002F6DAD" w:rsidRDefault="002F6DAD" w:rsidP="002F6DA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Sesgo de complacencia:</w:t>
      </w:r>
      <w:r>
        <w:t xml:space="preserve"> Normalización de desviaciones técnicas en procedimientos operativos de seguridad.</w:t>
      </w:r>
    </w:p>
    <w:p w14:paraId="5DD3197D" w14:textId="0685B352" w:rsidR="002F6DAD" w:rsidRDefault="002F6DAD" w:rsidP="002F6DAD">
      <w:pPr>
        <w:pStyle w:val="NormalWeb"/>
      </w:pPr>
    </w:p>
    <w:p w14:paraId="523CFB46" w14:textId="20CADEDA" w:rsidR="002F6DAD" w:rsidRPr="00D467F3" w:rsidRDefault="002F6DAD" w:rsidP="00D467F3">
      <w:pPr>
        <w:pStyle w:val="Ttulo2"/>
        <w:rPr>
          <w:b/>
          <w:color w:val="385623" w:themeColor="accent6" w:themeShade="80"/>
          <w:sz w:val="24"/>
          <w:szCs w:val="24"/>
        </w:rPr>
      </w:pPr>
      <w:bookmarkStart w:id="6" w:name="_Toc240119472"/>
      <w:r w:rsidRPr="00D467F3">
        <w:rPr>
          <w:b/>
          <w:color w:val="385623" w:themeColor="accent6" w:themeShade="80"/>
          <w:sz w:val="24"/>
          <w:szCs w:val="24"/>
        </w:rPr>
        <w:t>Falta de Regulación o Supervisión</w:t>
      </w:r>
      <w:bookmarkEnd w:id="6"/>
    </w:p>
    <w:p w14:paraId="4704DE24" w14:textId="7A5A69B5" w:rsidR="002F6DAD" w:rsidRDefault="002F6DAD" w:rsidP="002F6DAD"/>
    <w:p w14:paraId="44835F5E" w14:textId="77777777" w:rsidR="002F6DAD" w:rsidRDefault="002F6DAD" w:rsidP="002F6DA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Conflicto de intereses en entes reguladores:</w:t>
      </w:r>
      <w:r>
        <w:t xml:space="preserve"> El </w:t>
      </w:r>
      <w:r>
        <w:rPr>
          <w:i/>
          <w:iCs/>
        </w:rPr>
        <w:t>MMS (</w:t>
      </w:r>
      <w:proofErr w:type="spellStart"/>
      <w:r>
        <w:rPr>
          <w:i/>
          <w:iCs/>
        </w:rPr>
        <w:t>Minerals</w:t>
      </w:r>
      <w:proofErr w:type="spellEnd"/>
      <w:r>
        <w:rPr>
          <w:i/>
          <w:iCs/>
        </w:rPr>
        <w:t xml:space="preserve"> Management </w:t>
      </w:r>
      <w:proofErr w:type="spellStart"/>
      <w:r>
        <w:rPr>
          <w:i/>
          <w:iCs/>
        </w:rPr>
        <w:t>Service</w:t>
      </w:r>
      <w:proofErr w:type="spellEnd"/>
      <w:r>
        <w:rPr>
          <w:i/>
          <w:iCs/>
        </w:rPr>
        <w:t>)</w:t>
      </w:r>
      <w:r>
        <w:t xml:space="preserve"> de EE.UU. supervisaba la seguridad y al mismo tiempo cobraba regalías, debilitando las auditorías preventivas.</w:t>
      </w:r>
    </w:p>
    <w:p w14:paraId="7EEE803F" w14:textId="1EBAEEB2" w:rsidR="002F6DAD" w:rsidRDefault="002F6DAD" w:rsidP="002F6DA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Inexistencia de protocolos para aguas ultra profundas:</w:t>
      </w:r>
      <w:r>
        <w:t xml:space="preserve"> Falta de exigencia estatal para contar con planes de contingencia probados en perforaciones a más de 1.500 metros bajo el mar.</w:t>
      </w:r>
    </w:p>
    <w:p w14:paraId="0463D53F" w14:textId="04F8764E" w:rsidR="002F6DAD" w:rsidRDefault="002F6DAD" w:rsidP="002F6DAD">
      <w:pPr>
        <w:pStyle w:val="NormalWeb"/>
      </w:pPr>
    </w:p>
    <w:p w14:paraId="79963DD6" w14:textId="01A6E015" w:rsidR="002F6DAD" w:rsidRPr="00D467F3" w:rsidRDefault="002F6DAD" w:rsidP="00D467F3">
      <w:pPr>
        <w:pStyle w:val="Ttulo2"/>
        <w:rPr>
          <w:b/>
          <w:color w:val="385623" w:themeColor="accent6" w:themeShade="80"/>
          <w:sz w:val="24"/>
          <w:szCs w:val="24"/>
        </w:rPr>
      </w:pPr>
      <w:bookmarkStart w:id="7" w:name="_Toc240119473"/>
      <w:r w:rsidRPr="00D467F3">
        <w:rPr>
          <w:b/>
          <w:color w:val="385623" w:themeColor="accent6" w:themeShade="80"/>
          <w:sz w:val="24"/>
          <w:szCs w:val="24"/>
        </w:rPr>
        <w:t>Impacto Ambiental</w:t>
      </w:r>
      <w:bookmarkEnd w:id="7"/>
    </w:p>
    <w:p w14:paraId="535BBE78" w14:textId="3C412BE1" w:rsidR="002F6DAD" w:rsidRDefault="002F6DAD" w:rsidP="002F6DAD"/>
    <w:p w14:paraId="0D249A67" w14:textId="77777777" w:rsidR="002F6DAD" w:rsidRDefault="002F6DAD" w:rsidP="002F6DA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Vertido a gran escala:</w:t>
      </w:r>
      <w:r>
        <w:t xml:space="preserve"> Entre 12.000 y 19.000 barriles diarios liberados (más de 76 millones de litros en las primeras seis semanas), superando con creces desastres históricos como el Exxon Valdez (1989).</w:t>
      </w:r>
    </w:p>
    <w:p w14:paraId="50440F0C" w14:textId="77777777" w:rsidR="002F6DAD" w:rsidRDefault="002F6DAD" w:rsidP="002F6DA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Afectación de ecosistemas:</w:t>
      </w:r>
      <w:r>
        <w:t xml:space="preserve"> Más de 110 kilómetros de costas afectadas en Luisiana, alcanzando estuarios y humedales delicados.</w:t>
      </w:r>
    </w:p>
    <w:p w14:paraId="5E0230F3" w14:textId="151CC235" w:rsidR="002F6DAD" w:rsidRDefault="002F6DAD" w:rsidP="002F6DA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Columnas de petróleo submarino:</w:t>
      </w:r>
      <w:r>
        <w:t xml:space="preserve"> Descubrimiento de nubes de crudo sumergidas de hasta 35 kilómetros de extensión a 1.066 metros de profundidad, impactando la vida marina bentónica.</w:t>
      </w:r>
    </w:p>
    <w:p w14:paraId="0B531C43" w14:textId="0E6FE1E0" w:rsidR="002F6DAD" w:rsidRDefault="002F6DAD" w:rsidP="002F6DAD">
      <w:pPr>
        <w:pStyle w:val="NormalWeb"/>
      </w:pPr>
    </w:p>
    <w:p w14:paraId="7539164E" w14:textId="688A2A1A" w:rsidR="002F6DAD" w:rsidRPr="00D467F3" w:rsidRDefault="002F6DAD" w:rsidP="00D467F3">
      <w:pPr>
        <w:pStyle w:val="Subttulo"/>
        <w:numPr>
          <w:ilvl w:val="0"/>
          <w:numId w:val="0"/>
        </w:numPr>
        <w:rPr>
          <w:rStyle w:val="Ttulo2Car"/>
          <w:b/>
          <w:color w:val="385623" w:themeColor="accent6" w:themeShade="80"/>
          <w:sz w:val="24"/>
          <w:szCs w:val="24"/>
        </w:rPr>
      </w:pPr>
      <w:r w:rsidRPr="002F6DAD">
        <w:rPr>
          <w:b/>
          <w:color w:val="385623" w:themeColor="accent6" w:themeShade="80"/>
          <w:sz w:val="24"/>
          <w:szCs w:val="24"/>
        </w:rPr>
        <w:t>C</w:t>
      </w:r>
      <w:r w:rsidRPr="00D467F3">
        <w:rPr>
          <w:rStyle w:val="Ttulo2Car"/>
          <w:b/>
          <w:color w:val="385623" w:themeColor="accent6" w:themeShade="80"/>
          <w:sz w:val="24"/>
          <w:szCs w:val="24"/>
        </w:rPr>
        <w:t>onsecuencias Económicas</w:t>
      </w:r>
    </w:p>
    <w:p w14:paraId="2BBC0EA2" w14:textId="48A5B6EA" w:rsidR="002F6DAD" w:rsidRDefault="002F6DAD" w:rsidP="002F6DAD"/>
    <w:p w14:paraId="25AE4F1C" w14:textId="77777777" w:rsidR="002F6DAD" w:rsidRDefault="002F6DAD" w:rsidP="002F6DA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Pérdida de activos directos:</w:t>
      </w:r>
      <w:r>
        <w:t xml:space="preserve"> El hundimiento de la plataforma representó un costo superior a los US$560 millones.</w:t>
      </w:r>
    </w:p>
    <w:p w14:paraId="2B1DB0DA" w14:textId="77777777" w:rsidR="002F6DAD" w:rsidRDefault="002F6DAD" w:rsidP="002F6DAD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Costos de respuesta y compensaciones:</w:t>
      </w:r>
      <w:r>
        <w:t xml:space="preserve"> BP registró costos iniciales de emergencia e indemnizaciones por US</w:t>
      </w:r>
      <w:r>
        <w:rPr>
          <w:rStyle w:val="math-inline"/>
        </w:rPr>
        <w:t>$990 millones (incluyendo US$</w:t>
      </w:r>
      <w:r>
        <w:t>40 millones a afectados inmediatos), cifra que escaló a decenas de miles de millones de dólares.</w:t>
      </w:r>
    </w:p>
    <w:p w14:paraId="2D167735" w14:textId="77777777" w:rsidR="002F6DAD" w:rsidRDefault="002F6DAD" w:rsidP="002F6DA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Impacto bursátil:</w:t>
      </w:r>
      <w:r>
        <w:t xml:space="preserve"> Desplome del 40% en las acciones de BP, perdiendo más de US$75.000 millones de su valor de mercado en pocas semanas.</w:t>
      </w:r>
    </w:p>
    <w:p w14:paraId="51E80831" w14:textId="4D8F14C5" w:rsidR="002F6DAD" w:rsidRDefault="002F6DAD" w:rsidP="002F6DA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Impacto regional:</w:t>
      </w:r>
      <w:r>
        <w:t xml:space="preserve"> Parálisis de la industria pesquera y turística en el Golfo de México.</w:t>
      </w:r>
    </w:p>
    <w:p w14:paraId="051CA2A9" w14:textId="3D228A9B" w:rsidR="002F6DAD" w:rsidRDefault="002F6DAD" w:rsidP="002F6DAD">
      <w:pPr>
        <w:pStyle w:val="NormalWeb"/>
      </w:pPr>
    </w:p>
    <w:p w14:paraId="712C24E9" w14:textId="140FD86E" w:rsidR="002F6DAD" w:rsidRPr="00D467F3" w:rsidRDefault="002F6DAD" w:rsidP="00D467F3">
      <w:pPr>
        <w:pStyle w:val="Ttulo2"/>
        <w:rPr>
          <w:b/>
          <w:color w:val="385623" w:themeColor="accent6" w:themeShade="80"/>
          <w:sz w:val="24"/>
          <w:szCs w:val="24"/>
        </w:rPr>
      </w:pPr>
      <w:bookmarkStart w:id="8" w:name="_Toc240119474"/>
      <w:r w:rsidRPr="00D467F3">
        <w:rPr>
          <w:b/>
          <w:color w:val="385623" w:themeColor="accent6" w:themeShade="80"/>
          <w:sz w:val="24"/>
          <w:szCs w:val="24"/>
        </w:rPr>
        <w:t>Efectos en la Salud de los Trabajadores y Comunidades Cercanas</w:t>
      </w:r>
      <w:bookmarkEnd w:id="8"/>
    </w:p>
    <w:p w14:paraId="76396CCD" w14:textId="300CE8C2" w:rsidR="00D467F3" w:rsidRDefault="00D467F3" w:rsidP="00D467F3"/>
    <w:p w14:paraId="3D4AC114" w14:textId="77777777" w:rsidR="00D467F3" w:rsidRDefault="00D467F3" w:rsidP="00D467F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Pérdida de vidas humanas:</w:t>
      </w:r>
      <w:r>
        <w:t xml:space="preserve"> 11 trabajadores fallecieron en la explosión inicial e incendio de la plataforma.</w:t>
      </w:r>
    </w:p>
    <w:p w14:paraId="77DDED69" w14:textId="77777777" w:rsidR="00D467F3" w:rsidRDefault="00D467F3" w:rsidP="00D467F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Salud ocupacional de rescatistas y brigadistas:</w:t>
      </w:r>
      <w:r>
        <w:t xml:space="preserve"> Afectaciones respiratorias, dermatitis e intoxicación por inhalación de compuestos orgánicos volátiles (COV) y dispersantes químicos usados en la limpieza.</w:t>
      </w:r>
    </w:p>
    <w:p w14:paraId="17E9CA7C" w14:textId="77777777" w:rsidR="00D467F3" w:rsidRDefault="00D467F3" w:rsidP="00D467F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Impacto en la salud pública costera:</w:t>
      </w:r>
      <w:r>
        <w:t xml:space="preserve"> Problemas respiratorios, irritación ocular y efectos neurológicos/psicológicos (estrés y ansiedad) en las comunidades pesqueras debido a la exposición a gases y al colapso de sus medios de subsistencia.</w:t>
      </w:r>
    </w:p>
    <w:p w14:paraId="7A4A294C" w14:textId="77777777" w:rsidR="00D467F3" w:rsidRPr="00D467F3" w:rsidRDefault="00D467F3" w:rsidP="00D467F3"/>
    <w:p w14:paraId="21CC7EA0" w14:textId="77777777" w:rsidR="002F6DAD" w:rsidRDefault="002F6DAD" w:rsidP="002F6DAD">
      <w:pPr>
        <w:pStyle w:val="NormalWeb"/>
      </w:pPr>
    </w:p>
    <w:p w14:paraId="18670148" w14:textId="77777777" w:rsidR="002F6DAD" w:rsidRPr="002F6DAD" w:rsidRDefault="002F6DAD" w:rsidP="002F6DAD"/>
    <w:p w14:paraId="2B3D239E" w14:textId="77777777" w:rsidR="002F6DAD" w:rsidRPr="002F6DAD" w:rsidRDefault="002F6DAD" w:rsidP="002F6DAD"/>
    <w:p w14:paraId="19719431" w14:textId="77777777" w:rsidR="002F6DAD" w:rsidRPr="002F6DAD" w:rsidRDefault="002F6DAD" w:rsidP="002F6DAD"/>
    <w:p w14:paraId="00C6D7AF" w14:textId="77777777" w:rsidR="002F6DAD" w:rsidRDefault="002F6DAD" w:rsidP="00E9059C">
      <w:pPr>
        <w:rPr>
          <w:b/>
          <w:color w:val="385623" w:themeColor="accent6" w:themeShade="80"/>
          <w:sz w:val="28"/>
          <w:szCs w:val="28"/>
        </w:rPr>
      </w:pPr>
    </w:p>
    <w:p w14:paraId="653A76A3" w14:textId="0EE6280E" w:rsidR="00E9059C" w:rsidRDefault="00E9059C" w:rsidP="00E9059C">
      <w:pPr>
        <w:rPr>
          <w:b/>
          <w:color w:val="385623" w:themeColor="accent6" w:themeShade="80"/>
          <w:sz w:val="28"/>
          <w:szCs w:val="28"/>
        </w:rPr>
      </w:pPr>
    </w:p>
    <w:p w14:paraId="2E9B5696" w14:textId="1855867F" w:rsidR="00E9059C" w:rsidRDefault="00E9059C" w:rsidP="00E9059C">
      <w:pPr>
        <w:rPr>
          <w:b/>
          <w:color w:val="385623" w:themeColor="accent6" w:themeShade="80"/>
          <w:sz w:val="28"/>
          <w:szCs w:val="28"/>
        </w:rPr>
      </w:pPr>
    </w:p>
    <w:p w14:paraId="24156CFC" w14:textId="6502D7E3" w:rsidR="00E9059C" w:rsidRDefault="00E9059C" w:rsidP="00E9059C">
      <w:pPr>
        <w:rPr>
          <w:b/>
          <w:color w:val="385623" w:themeColor="accent6" w:themeShade="80"/>
          <w:sz w:val="28"/>
          <w:szCs w:val="28"/>
        </w:rPr>
      </w:pPr>
    </w:p>
    <w:p w14:paraId="3920FF39" w14:textId="41EC0CCB" w:rsidR="00E9059C" w:rsidRDefault="00E9059C" w:rsidP="00E9059C">
      <w:pPr>
        <w:rPr>
          <w:b/>
          <w:color w:val="385623" w:themeColor="accent6" w:themeShade="80"/>
          <w:sz w:val="28"/>
          <w:szCs w:val="28"/>
        </w:rPr>
      </w:pPr>
    </w:p>
    <w:p w14:paraId="17B38E7B" w14:textId="5E6DCA24" w:rsidR="00E9059C" w:rsidRDefault="00E9059C" w:rsidP="00E9059C">
      <w:pPr>
        <w:rPr>
          <w:b/>
          <w:color w:val="385623" w:themeColor="accent6" w:themeShade="80"/>
          <w:sz w:val="28"/>
          <w:szCs w:val="28"/>
        </w:rPr>
      </w:pPr>
    </w:p>
    <w:p w14:paraId="34F0AF87" w14:textId="108AAFD4" w:rsidR="00E9059C" w:rsidRDefault="00E9059C" w:rsidP="00E9059C">
      <w:pPr>
        <w:rPr>
          <w:b/>
          <w:color w:val="385623" w:themeColor="accent6" w:themeShade="80"/>
          <w:sz w:val="28"/>
          <w:szCs w:val="28"/>
        </w:rPr>
      </w:pPr>
    </w:p>
    <w:p w14:paraId="33880D11" w14:textId="056A0FBC" w:rsidR="00E9059C" w:rsidRDefault="00E9059C" w:rsidP="00E9059C">
      <w:pPr>
        <w:rPr>
          <w:b/>
          <w:color w:val="385623" w:themeColor="accent6" w:themeShade="80"/>
          <w:sz w:val="28"/>
          <w:szCs w:val="28"/>
        </w:rPr>
      </w:pPr>
    </w:p>
    <w:p w14:paraId="50EA4882" w14:textId="46EC7952" w:rsidR="00E9059C" w:rsidRDefault="00E9059C" w:rsidP="00E9059C">
      <w:pPr>
        <w:rPr>
          <w:b/>
          <w:color w:val="385623" w:themeColor="accent6" w:themeShade="80"/>
          <w:sz w:val="28"/>
          <w:szCs w:val="28"/>
        </w:rPr>
      </w:pPr>
    </w:p>
    <w:p w14:paraId="78F70D50" w14:textId="38C69DB0" w:rsidR="00E9059C" w:rsidRDefault="00E9059C" w:rsidP="00E9059C">
      <w:pPr>
        <w:rPr>
          <w:b/>
          <w:color w:val="385623" w:themeColor="accent6" w:themeShade="80"/>
          <w:sz w:val="28"/>
          <w:szCs w:val="28"/>
        </w:rPr>
      </w:pPr>
    </w:p>
    <w:p w14:paraId="369C4ADF" w14:textId="24F11000" w:rsidR="00E9059C" w:rsidRDefault="00E9059C" w:rsidP="00E9059C">
      <w:pPr>
        <w:rPr>
          <w:b/>
          <w:color w:val="385623" w:themeColor="accent6" w:themeShade="80"/>
          <w:sz w:val="28"/>
          <w:szCs w:val="28"/>
        </w:rPr>
      </w:pPr>
    </w:p>
    <w:p w14:paraId="4EFF9250" w14:textId="3D9CD763" w:rsidR="00E9059C" w:rsidRDefault="00E9059C" w:rsidP="00E9059C">
      <w:pPr>
        <w:rPr>
          <w:b/>
          <w:color w:val="385623" w:themeColor="accent6" w:themeShade="80"/>
          <w:sz w:val="28"/>
          <w:szCs w:val="28"/>
        </w:rPr>
      </w:pPr>
    </w:p>
    <w:p w14:paraId="44FFC004" w14:textId="22762522" w:rsidR="00E9059C" w:rsidRDefault="00E9059C" w:rsidP="00E9059C">
      <w:pPr>
        <w:rPr>
          <w:b/>
          <w:color w:val="385623" w:themeColor="accent6" w:themeShade="80"/>
          <w:sz w:val="28"/>
          <w:szCs w:val="28"/>
        </w:rPr>
      </w:pPr>
    </w:p>
    <w:p w14:paraId="297B4E5D" w14:textId="7A7A046C" w:rsidR="00E9059C" w:rsidRDefault="00E9059C" w:rsidP="00E9059C">
      <w:pPr>
        <w:rPr>
          <w:b/>
          <w:color w:val="385623" w:themeColor="accent6" w:themeShade="80"/>
          <w:sz w:val="28"/>
          <w:szCs w:val="28"/>
        </w:rPr>
      </w:pPr>
    </w:p>
    <w:p w14:paraId="36089DBE" w14:textId="03985B44" w:rsidR="00E9059C" w:rsidRDefault="00E9059C" w:rsidP="00E9059C">
      <w:pPr>
        <w:rPr>
          <w:b/>
          <w:color w:val="385623" w:themeColor="accent6" w:themeShade="80"/>
          <w:sz w:val="28"/>
          <w:szCs w:val="28"/>
        </w:rPr>
      </w:pPr>
    </w:p>
    <w:p w14:paraId="06F1FFFF" w14:textId="0CF68746" w:rsidR="00E9059C" w:rsidRDefault="00E9059C" w:rsidP="00E9059C">
      <w:pPr>
        <w:rPr>
          <w:b/>
          <w:color w:val="385623" w:themeColor="accent6" w:themeShade="80"/>
          <w:sz w:val="28"/>
          <w:szCs w:val="28"/>
        </w:rPr>
      </w:pPr>
    </w:p>
    <w:p w14:paraId="68B02D4B" w14:textId="49C67E2C" w:rsidR="00E9059C" w:rsidRDefault="00E9059C" w:rsidP="00E9059C">
      <w:pPr>
        <w:rPr>
          <w:b/>
          <w:color w:val="385623" w:themeColor="accent6" w:themeShade="80"/>
          <w:sz w:val="28"/>
          <w:szCs w:val="28"/>
        </w:rPr>
      </w:pPr>
    </w:p>
    <w:p w14:paraId="5EE33559" w14:textId="4D828F97" w:rsidR="00E9059C" w:rsidRDefault="00E9059C" w:rsidP="00E9059C">
      <w:pPr>
        <w:rPr>
          <w:b/>
          <w:color w:val="385623" w:themeColor="accent6" w:themeShade="80"/>
          <w:sz w:val="28"/>
          <w:szCs w:val="28"/>
        </w:rPr>
      </w:pPr>
    </w:p>
    <w:p w14:paraId="24CB8227" w14:textId="2E4CD408" w:rsidR="00E9059C" w:rsidRDefault="00E9059C" w:rsidP="00E9059C">
      <w:pPr>
        <w:rPr>
          <w:b/>
          <w:color w:val="385623" w:themeColor="accent6" w:themeShade="80"/>
          <w:sz w:val="28"/>
          <w:szCs w:val="28"/>
        </w:rPr>
      </w:pPr>
    </w:p>
    <w:p w14:paraId="546F03C8" w14:textId="41F0F76F" w:rsidR="00E9059C" w:rsidRDefault="00E9059C" w:rsidP="00E9059C">
      <w:pPr>
        <w:rPr>
          <w:b/>
          <w:color w:val="385623" w:themeColor="accent6" w:themeShade="80"/>
          <w:sz w:val="28"/>
          <w:szCs w:val="28"/>
        </w:rPr>
      </w:pPr>
    </w:p>
    <w:p w14:paraId="545126C1" w14:textId="48489440" w:rsidR="00E9059C" w:rsidRDefault="00E9059C" w:rsidP="00E9059C">
      <w:pPr>
        <w:rPr>
          <w:b/>
          <w:color w:val="385623" w:themeColor="accent6" w:themeShade="80"/>
          <w:sz w:val="28"/>
          <w:szCs w:val="28"/>
        </w:rPr>
      </w:pPr>
    </w:p>
    <w:p w14:paraId="3AA52986" w14:textId="6D36BBB0" w:rsidR="00E9059C" w:rsidRDefault="00E9059C" w:rsidP="00E9059C">
      <w:pPr>
        <w:rPr>
          <w:b/>
          <w:color w:val="385623" w:themeColor="accent6" w:themeShade="80"/>
          <w:sz w:val="28"/>
          <w:szCs w:val="28"/>
        </w:rPr>
      </w:pPr>
    </w:p>
    <w:p w14:paraId="67CB501D" w14:textId="77777777" w:rsidR="00E9059C" w:rsidRPr="00E9059C" w:rsidRDefault="00E9059C" w:rsidP="00E9059C">
      <w:pPr>
        <w:rPr>
          <w:b/>
          <w:color w:val="385623" w:themeColor="accent6" w:themeShade="80"/>
          <w:sz w:val="28"/>
          <w:szCs w:val="28"/>
        </w:rPr>
      </w:pPr>
    </w:p>
    <w:sectPr w:rsidR="00E9059C" w:rsidRPr="00E905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7843A0"/>
    <w:multiLevelType w:val="hybridMultilevel"/>
    <w:tmpl w:val="A0821C2A"/>
    <w:lvl w:ilvl="0" w:tplc="240A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3" w:hanging="360"/>
      </w:pPr>
    </w:lvl>
    <w:lvl w:ilvl="2" w:tplc="240A001B" w:tentative="1">
      <w:start w:val="1"/>
      <w:numFmt w:val="lowerRoman"/>
      <w:lvlText w:val="%3."/>
      <w:lvlJc w:val="right"/>
      <w:pPr>
        <w:ind w:left="2083" w:hanging="180"/>
      </w:pPr>
    </w:lvl>
    <w:lvl w:ilvl="3" w:tplc="240A000F" w:tentative="1">
      <w:start w:val="1"/>
      <w:numFmt w:val="decimal"/>
      <w:lvlText w:val="%4."/>
      <w:lvlJc w:val="left"/>
      <w:pPr>
        <w:ind w:left="2803" w:hanging="360"/>
      </w:pPr>
    </w:lvl>
    <w:lvl w:ilvl="4" w:tplc="240A0019" w:tentative="1">
      <w:start w:val="1"/>
      <w:numFmt w:val="lowerLetter"/>
      <w:lvlText w:val="%5."/>
      <w:lvlJc w:val="left"/>
      <w:pPr>
        <w:ind w:left="3523" w:hanging="360"/>
      </w:pPr>
    </w:lvl>
    <w:lvl w:ilvl="5" w:tplc="240A001B" w:tentative="1">
      <w:start w:val="1"/>
      <w:numFmt w:val="lowerRoman"/>
      <w:lvlText w:val="%6."/>
      <w:lvlJc w:val="right"/>
      <w:pPr>
        <w:ind w:left="4243" w:hanging="180"/>
      </w:pPr>
    </w:lvl>
    <w:lvl w:ilvl="6" w:tplc="240A000F" w:tentative="1">
      <w:start w:val="1"/>
      <w:numFmt w:val="decimal"/>
      <w:lvlText w:val="%7."/>
      <w:lvlJc w:val="left"/>
      <w:pPr>
        <w:ind w:left="4963" w:hanging="360"/>
      </w:pPr>
    </w:lvl>
    <w:lvl w:ilvl="7" w:tplc="240A0019" w:tentative="1">
      <w:start w:val="1"/>
      <w:numFmt w:val="lowerLetter"/>
      <w:lvlText w:val="%8."/>
      <w:lvlJc w:val="left"/>
      <w:pPr>
        <w:ind w:left="5683" w:hanging="360"/>
      </w:pPr>
    </w:lvl>
    <w:lvl w:ilvl="8" w:tplc="240A001B" w:tentative="1">
      <w:start w:val="1"/>
      <w:numFmt w:val="lowerRoman"/>
      <w:lvlText w:val="%9."/>
      <w:lvlJc w:val="right"/>
      <w:pPr>
        <w:ind w:left="6403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327"/>
    <w:rsid w:val="002F6DAD"/>
    <w:rsid w:val="0077187C"/>
    <w:rsid w:val="00C16919"/>
    <w:rsid w:val="00D467F3"/>
    <w:rsid w:val="00E51327"/>
    <w:rsid w:val="00E90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18514"/>
  <w15:chartTrackingRefBased/>
  <w15:docId w15:val="{05C52251-9C00-4A44-A212-A59AC83CC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67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467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E9059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0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187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77187C"/>
    <w:rPr>
      <w:rFonts w:eastAsiaTheme="minorEastAsia"/>
      <w:color w:val="5A5A5A" w:themeColor="text1" w:themeTint="A5"/>
      <w:spacing w:val="15"/>
    </w:rPr>
  </w:style>
  <w:style w:type="paragraph" w:styleId="NormalWeb">
    <w:name w:val="Normal (Web)"/>
    <w:basedOn w:val="Normal"/>
    <w:uiPriority w:val="99"/>
    <w:semiHidden/>
    <w:unhideWhenUsed/>
    <w:rsid w:val="002F6D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F6DAD"/>
    <w:pPr>
      <w:ind w:left="720"/>
      <w:contextualSpacing/>
    </w:pPr>
  </w:style>
  <w:style w:type="character" w:customStyle="1" w:styleId="math-inline">
    <w:name w:val="math-inline"/>
    <w:basedOn w:val="Fuentedeprrafopredeter"/>
    <w:rsid w:val="002F6DAD"/>
  </w:style>
  <w:style w:type="character" w:customStyle="1" w:styleId="Ttulo1Car">
    <w:name w:val="Título 1 Car"/>
    <w:basedOn w:val="Fuentedeprrafopredeter"/>
    <w:link w:val="Ttulo1"/>
    <w:uiPriority w:val="9"/>
    <w:rsid w:val="00D467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D467F3"/>
    <w:pPr>
      <w:outlineLvl w:val="9"/>
    </w:pPr>
    <w:rPr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D467F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D467F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467F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467F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4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A9EA7E-4C3D-42CC-90FD-95BD41E92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667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2026-09-12T19:50:00Z</dcterms:created>
  <dcterms:modified xsi:type="dcterms:W3CDTF">2026-09-12T20:31:00Z</dcterms:modified>
</cp:coreProperties>
</file>