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211E" w14:textId="77777777" w:rsidR="00DD1E51" w:rsidRPr="00DD1E51" w:rsidRDefault="00DD1E51" w:rsidP="00DD1E51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METHODOLOGY ADDENDUM: Data Architecture &amp; Feature Engineering</w:t>
      </w:r>
    </w:p>
    <w:p w14:paraId="050B2B68" w14:textId="77777777" w:rsidR="00DD1E51" w:rsidRPr="00DD1E51" w:rsidRDefault="00DD1E51" w:rsidP="00DD1E5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14:ligatures w14:val="none"/>
        </w:rPr>
        <w:t>Project: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 Impact of Postoperative Mean Arterial Pressure Targets on Acute Kidney Injury After Aortic Surgery</w:t>
      </w:r>
    </w:p>
    <w:p w14:paraId="188CEE67" w14:textId="77777777" w:rsidR="00DD1E51" w:rsidRPr="00DD1E51" w:rsidRDefault="00DD1E51" w:rsidP="00DD1E5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Overview and Objective</w:t>
      </w:r>
    </w:p>
    <w:p w14:paraId="71A2B30A" w14:textId="4E8FB474" w:rsidR="00DD1E51" w:rsidRPr="00CE69B8" w:rsidRDefault="00DD1E51" w:rsidP="00DD1E5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kern w:val="0"/>
          <w14:ligatures w14:val="none"/>
        </w:rPr>
        <w:t xml:space="preserve">This addendum details the end-to-end data extraction, transformation, and sterilization pipeline used to generate the analytic cohort from the MIMIC-IV database. The primary objective of this architecture was to extract a highly specific cohort of complex vascular surgery ICU patients while rigorously defending against three methodological flaws common in retrospective EHR analysis: </w:t>
      </w:r>
      <w:r w:rsidRPr="00CE69B8">
        <w:rPr>
          <w:rFonts w:ascii="Arial" w:eastAsia="Times New Roman" w:hAnsi="Arial" w:cs="Arial"/>
          <w:kern w:val="0"/>
          <w14:ligatures w14:val="none"/>
        </w:rPr>
        <w:t>Temporal Target Leakage, Confounding by Indication, and Over-adjustment Bias.</w:t>
      </w:r>
    </w:p>
    <w:p w14:paraId="09BB8DBB" w14:textId="77777777" w:rsidR="00DD1E51" w:rsidRPr="00DD1E51" w:rsidRDefault="00DD1E51" w:rsidP="00DD1E5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Feature Engineering &amp; Clinical Phenotyping</w:t>
      </w:r>
    </w:p>
    <w:p w14:paraId="7B390596" w14:textId="77777777" w:rsidR="00DD1E51" w:rsidRPr="00DD1E51" w:rsidRDefault="00DD1E51" w:rsidP="00DD1E5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kern w:val="0"/>
          <w14:ligatures w14:val="none"/>
        </w:rPr>
        <w:t>Standard administrative data is often insufficient for high-resolution surgical phenotyping. We engineered several custom features to accurately capture the patient's physiological state:</w:t>
      </w:r>
    </w:p>
    <w:p w14:paraId="559856B5" w14:textId="77777777" w:rsidR="00DD1E51" w:rsidRPr="00DD1E51" w:rsidRDefault="00DD1E51" w:rsidP="00DD1E5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14:ligatures w14:val="none"/>
        </w:rPr>
        <w:t>The "Complex Aortic" Composite: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 ICD-10 billing codes notoriously underreport intraoperative details. To accurately capture the profound ischemic hit of suprarenal cross-clamping, the SQL pipeline combines structured ICD codes with unstructured Natural Language Processing (NLP) keyword matching from physician discharge notes.</w:t>
      </w:r>
    </w:p>
    <w:p w14:paraId="50434A53" w14:textId="77777777" w:rsidR="00DD1E51" w:rsidRPr="00DD1E51" w:rsidRDefault="00DD1E51" w:rsidP="00DD1E5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14:ligatures w14:val="none"/>
        </w:rPr>
        <w:t>Time-Weighted Average (TWA) MAP: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 Arithmetic mean blood pressures are highly susceptible to mechanical artifacts (e.g., arterial line flushes). The pipeline integrates the area under the hemodynamic curve to calculate a 24-hour TWA-MAP, providing a mathematically accurate representation of the total perfusion exposure.</w:t>
      </w:r>
    </w:p>
    <w:p w14:paraId="4087338F" w14:textId="3823A43F" w:rsidR="00DD1E51" w:rsidRPr="00DD1E51" w:rsidRDefault="00DD1E51" w:rsidP="00DD1E5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14:ligatures w14:val="none"/>
        </w:rPr>
        <w:t>Resuscitation Stratification: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="00CE69B8">
        <w:rPr>
          <w:rFonts w:ascii="Arial" w:eastAsia="Times New Roman" w:hAnsi="Arial" w:cs="Arial"/>
          <w:kern w:val="0"/>
          <w14:ligatures w14:val="none"/>
        </w:rPr>
        <w:t>separate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 the physiological mechanisms of MAP achievement, fluid intake and urine output were extracted independently to calculate a true 24-hour fluid balance. Vasopressor exposure was quantified continuously (total hours) to evaluate dose-response relationships.</w:t>
      </w:r>
    </w:p>
    <w:p w14:paraId="1DD1D3E3" w14:textId="77777777" w:rsidR="00DD1E51" w:rsidRPr="00DD1E51" w:rsidRDefault="00DD1E51" w:rsidP="00DD1E5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Temporal Anchoring &amp; KDIGO Adherence</w:t>
      </w:r>
    </w:p>
    <w:p w14:paraId="15BA6443" w14:textId="77777777" w:rsidR="00DD1E51" w:rsidRPr="00DD1E51" w:rsidRDefault="00DD1E51" w:rsidP="00DD1E5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kern w:val="0"/>
          <w14:ligatures w14:val="none"/>
        </w:rPr>
        <w:t xml:space="preserve">To prevent </w:t>
      </w:r>
      <w:r w:rsidRPr="00DD1E51">
        <w:rPr>
          <w:rFonts w:ascii="Arial" w:eastAsia="Times New Roman" w:hAnsi="Arial" w:cs="Arial"/>
          <w:b/>
          <w:bCs/>
          <w:kern w:val="0"/>
          <w14:ligatures w14:val="none"/>
        </w:rPr>
        <w:t>Immortal Time Bias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DD1E51">
        <w:rPr>
          <w:rFonts w:ascii="Arial" w:eastAsia="Times New Roman" w:hAnsi="Arial" w:cs="Arial"/>
          <w:b/>
          <w:bCs/>
          <w:kern w:val="0"/>
          <w14:ligatures w14:val="none"/>
        </w:rPr>
        <w:t>Target Leakage</w:t>
      </w:r>
      <w:r w:rsidRPr="00DD1E51">
        <w:rPr>
          <w:rFonts w:ascii="Arial" w:eastAsia="Times New Roman" w:hAnsi="Arial" w:cs="Arial"/>
          <w:kern w:val="0"/>
          <w14:ligatures w14:val="none"/>
        </w:rPr>
        <w:t>, the pipeline enforces strict temporal boundaries:</w:t>
      </w:r>
    </w:p>
    <w:p w14:paraId="2AA52C0B" w14:textId="77777777" w:rsidR="00DD1E51" w:rsidRPr="00DD1E51" w:rsidRDefault="00DD1E51" w:rsidP="00DD1E5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The KDIGO Baseline: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 A rolling 7-day preoperative window was swept to establish the true baseline creatinine, strictly adhering to KDIGO clinical practice guidelines for Acute Kidney Injury staging.</w:t>
      </w:r>
    </w:p>
    <w:p w14:paraId="1D976356" w14:textId="6E5B6C60" w:rsidR="00DD1E51" w:rsidRPr="00DD1E51" w:rsidRDefault="00DD1E51" w:rsidP="00DD1E5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14:ligatures w14:val="none"/>
        </w:rPr>
        <w:t>The Target Quarantine: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 The exposure window was strictly defined as hours 0–24 post-ICU admission. The primary outcome (</w:t>
      </w:r>
      <w:r w:rsidRPr="00DD1E51">
        <w:rPr>
          <w:rFonts w:ascii="Arial" w:eastAsia="Times New Roman" w:hAnsi="Arial" w:cs="Arial"/>
          <w:kern w:val="0"/>
          <w:sz w:val="20"/>
          <w:szCs w:val="20"/>
          <w14:ligatures w14:val="none"/>
        </w:rPr>
        <w:t>aki_7day_flag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) evaluates AKI occurring </w:t>
      </w:r>
      <w:r w:rsidRPr="00DD1E51">
        <w:rPr>
          <w:rFonts w:ascii="Arial" w:eastAsia="Times New Roman" w:hAnsi="Arial" w:cs="Arial"/>
          <w:i/>
          <w:iCs/>
          <w:kern w:val="0"/>
          <w14:ligatures w14:val="none"/>
        </w:rPr>
        <w:t>after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 this window. Any patient who developed AKI during the first 24 hours was permanently excluded (</w:t>
      </w:r>
      <w:r w:rsidRPr="00DD1E5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aki_24h_flag = </w:t>
      </w:r>
      <w:r w:rsidR="007668E7">
        <w:rPr>
          <w:rFonts w:ascii="Arial" w:eastAsia="Times New Roman" w:hAnsi="Arial" w:cs="Arial"/>
          <w:kern w:val="0"/>
          <w:sz w:val="20"/>
          <w:szCs w:val="20"/>
          <w14:ligatures w14:val="none"/>
        </w:rPr>
        <w:t>0</w:t>
      </w:r>
      <w:r w:rsidRPr="00DD1E51">
        <w:rPr>
          <w:rFonts w:ascii="Arial" w:eastAsia="Times New Roman" w:hAnsi="Arial" w:cs="Arial"/>
          <w:kern w:val="0"/>
          <w14:ligatures w14:val="none"/>
        </w:rPr>
        <w:t>). This ensures that the 24-hour MAP target was not "chasing" a kidney injury that had already occurred in the operating room.</w:t>
      </w:r>
    </w:p>
    <w:p w14:paraId="53CA9CB4" w14:textId="77777777" w:rsidR="00DD1E51" w:rsidRPr="00DD1E51" w:rsidRDefault="00DD1E51" w:rsidP="00DD1E5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Cohort Sterilization &amp; The "Shock" Quarantine</w:t>
      </w:r>
    </w:p>
    <w:p w14:paraId="1EEA83A7" w14:textId="77777777" w:rsidR="00DD1E51" w:rsidRPr="00DD1E51" w:rsidRDefault="00DD1E51" w:rsidP="00DD1E5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kern w:val="0"/>
          <w14:ligatures w14:val="none"/>
        </w:rPr>
        <w:t xml:space="preserve">The final SQL script generates two distinct analytic datasets to prevent </w:t>
      </w:r>
      <w:r w:rsidRPr="00DD1E51">
        <w:rPr>
          <w:rFonts w:ascii="Arial" w:eastAsia="Times New Roman" w:hAnsi="Arial" w:cs="Arial"/>
          <w:b/>
          <w:bCs/>
          <w:kern w:val="0"/>
          <w14:ligatures w14:val="none"/>
        </w:rPr>
        <w:t>Confounding by Indication</w:t>
      </w:r>
      <w:r w:rsidRPr="00DD1E51">
        <w:rPr>
          <w:rFonts w:ascii="Arial" w:eastAsia="Times New Roman" w:hAnsi="Arial" w:cs="Arial"/>
          <w:kern w:val="0"/>
          <w14:ligatures w14:val="none"/>
        </w:rPr>
        <w:t>:</w:t>
      </w:r>
    </w:p>
    <w:p w14:paraId="25C9647A" w14:textId="77777777" w:rsidR="00DD1E51" w:rsidRPr="00DD1E51" w:rsidRDefault="00DD1E51" w:rsidP="00DD1E5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14:ligatures w14:val="none"/>
        </w:rPr>
        <w:t>The EDA Cohort (n=883):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 Includes all patients passing the baseline exclusions (ESRD and Day-1 AKI). This table stratifies patients into three MAP tiers: Shock (&lt;65), Standard (65-74.9), and Aggressive ($\ge$75) to allow for the descriptive analysis of how massive fluid/pressor requirements drive hemodynamic failure.</w:t>
      </w:r>
    </w:p>
    <w:p w14:paraId="3A2068BF" w14:textId="7DC6BCC4" w:rsidR="00DD1E51" w:rsidRPr="00DD1E51" w:rsidRDefault="00DD1E51" w:rsidP="00DD1E5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14:ligatures w14:val="none"/>
        </w:rPr>
        <w:t>The Propensity Score Matching (PSM) Cohort (n=823):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 The Shock (&lt;65) group represents profound systemic </w:t>
      </w:r>
      <w:proofErr w:type="spellStart"/>
      <w:r w:rsidRPr="00DD1E51">
        <w:rPr>
          <w:rFonts w:ascii="Arial" w:eastAsia="Times New Roman" w:hAnsi="Arial" w:cs="Arial"/>
          <w:kern w:val="0"/>
          <w14:ligatures w14:val="none"/>
        </w:rPr>
        <w:t>vasoplegia</w:t>
      </w:r>
      <w:proofErr w:type="spellEnd"/>
      <w:r w:rsidRPr="00DD1E51">
        <w:rPr>
          <w:rFonts w:ascii="Arial" w:eastAsia="Times New Roman" w:hAnsi="Arial" w:cs="Arial"/>
          <w:kern w:val="0"/>
          <w14:ligatures w14:val="none"/>
        </w:rPr>
        <w:t xml:space="preserve"> or hemorrhage, not a deliberate physician target. Including them in comparative efficacy models would artificially inflate the control group</w:t>
      </w:r>
      <w:r w:rsidR="00CE69B8">
        <w:rPr>
          <w:rFonts w:ascii="Arial" w:eastAsia="Times New Roman" w:hAnsi="Arial" w:cs="Arial"/>
          <w:kern w:val="0"/>
          <w14:ligatures w14:val="none"/>
        </w:rPr>
        <w:t>'s baseline risk</w:t>
      </w:r>
      <w:r w:rsidRPr="00DD1E51">
        <w:rPr>
          <w:rFonts w:ascii="Arial" w:eastAsia="Times New Roman" w:hAnsi="Arial" w:cs="Arial"/>
          <w:kern w:val="0"/>
          <w14:ligatures w14:val="none"/>
        </w:rPr>
        <w:t>. Therefore, the pipeline physically drops the Shock tier from this export, enforcing a strict, unbiased 1:1 match between the Standard and Aggressive targets.</w:t>
      </w:r>
    </w:p>
    <w:p w14:paraId="085F4BB8" w14:textId="77777777" w:rsidR="00DD1E51" w:rsidRPr="00DD1E51" w:rsidRDefault="00DD1E51" w:rsidP="00DD1E5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D1E5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Protection Against Mediator Adjustment</w:t>
      </w:r>
    </w:p>
    <w:p w14:paraId="1DBC1212" w14:textId="0137091E" w:rsidR="00DD1E51" w:rsidRDefault="00DD1E51" w:rsidP="00CE69B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D1E51">
        <w:rPr>
          <w:rFonts w:ascii="Arial" w:eastAsia="Times New Roman" w:hAnsi="Arial" w:cs="Arial"/>
          <w:kern w:val="0"/>
          <w14:ligatures w14:val="none"/>
        </w:rPr>
        <w:t>Finally, the pipeline structurally separates baseline confounders (</w:t>
      </w:r>
      <w:r w:rsidRPr="00DD1E51">
        <w:rPr>
          <w:rFonts w:ascii="Arial" w:eastAsia="Times New Roman" w:hAnsi="Arial" w:cs="Arial"/>
          <w:kern w:val="0"/>
          <w:sz w:val="20"/>
          <w:szCs w:val="20"/>
          <w14:ligatures w14:val="none"/>
        </w:rPr>
        <w:t>age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D1E51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baseline_creatinine</w:t>
      </w:r>
      <w:proofErr w:type="spellEnd"/>
      <w:r w:rsidRPr="00DD1E5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D1E51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charlson_score</w:t>
      </w:r>
      <w:proofErr w:type="spellEnd"/>
      <w:r w:rsidRPr="00DD1E5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D1E51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complex_aortic</w:t>
      </w:r>
      <w:proofErr w:type="spellEnd"/>
      <w:r w:rsidRPr="00DD1E51">
        <w:rPr>
          <w:rFonts w:ascii="Arial" w:eastAsia="Times New Roman" w:hAnsi="Arial" w:cs="Arial"/>
          <w:kern w:val="0"/>
          <w14:ligatures w14:val="none"/>
        </w:rPr>
        <w:t>) from intraoperative mediators (</w:t>
      </w:r>
      <w:r w:rsidRPr="00DD1E51">
        <w:rPr>
          <w:rFonts w:ascii="Arial" w:eastAsia="Times New Roman" w:hAnsi="Arial" w:cs="Arial"/>
          <w:kern w:val="0"/>
          <w:sz w:val="20"/>
          <w:szCs w:val="20"/>
          <w14:ligatures w14:val="none"/>
        </w:rPr>
        <w:t>fluid_balance_24h</w:t>
      </w:r>
      <w:r w:rsidRPr="00DD1E5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D1E51">
        <w:rPr>
          <w:rFonts w:ascii="Arial" w:eastAsia="Times New Roman" w:hAnsi="Arial" w:cs="Arial"/>
          <w:kern w:val="0"/>
          <w:sz w:val="20"/>
          <w:szCs w:val="20"/>
          <w14:ligatures w14:val="none"/>
        </w:rPr>
        <w:t>vasopressor_flag</w:t>
      </w:r>
      <w:proofErr w:type="spellEnd"/>
      <w:r w:rsidRPr="00DD1E51">
        <w:rPr>
          <w:rFonts w:ascii="Arial" w:eastAsia="Times New Roman" w:hAnsi="Arial" w:cs="Arial"/>
          <w:kern w:val="0"/>
          <w14:ligatures w14:val="none"/>
        </w:rPr>
        <w:t xml:space="preserve">). This allows the downstream machine learning models to adjust for baseline sickness via Propensity Score Matching without committing "over-adjustment bias" by including the mechanisms of MAP achievement (fluids/pressors) in the </w:t>
      </w:r>
      <w:proofErr w:type="gramStart"/>
      <w:r w:rsidRPr="00DD1E51">
        <w:rPr>
          <w:rFonts w:ascii="Arial" w:eastAsia="Times New Roman" w:hAnsi="Arial" w:cs="Arial"/>
          <w:kern w:val="0"/>
          <w14:ligatures w14:val="none"/>
        </w:rPr>
        <w:t>final outcome</w:t>
      </w:r>
      <w:proofErr w:type="gramEnd"/>
      <w:r w:rsidRPr="00DD1E51">
        <w:rPr>
          <w:rFonts w:ascii="Arial" w:eastAsia="Times New Roman" w:hAnsi="Arial" w:cs="Arial"/>
          <w:kern w:val="0"/>
          <w14:ligatures w14:val="none"/>
        </w:rPr>
        <w:t xml:space="preserve"> regression.</w:t>
      </w:r>
    </w:p>
    <w:p w14:paraId="6747843E" w14:textId="77777777" w:rsidR="00DD1E51" w:rsidRPr="00DD1E51" w:rsidRDefault="00DD1E51" w:rsidP="00DD1E5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CDC3E8" w14:textId="77777777" w:rsidR="00F545A3" w:rsidRDefault="00F545A3"/>
    <w:sectPr w:rsidR="00F5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64BF"/>
    <w:multiLevelType w:val="multilevel"/>
    <w:tmpl w:val="654E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74980"/>
    <w:multiLevelType w:val="multilevel"/>
    <w:tmpl w:val="E122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55922"/>
    <w:multiLevelType w:val="multilevel"/>
    <w:tmpl w:val="590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152419">
    <w:abstractNumId w:val="2"/>
  </w:num>
  <w:num w:numId="2" w16cid:durableId="1138575876">
    <w:abstractNumId w:val="1"/>
  </w:num>
  <w:num w:numId="3" w16cid:durableId="161050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51"/>
    <w:rsid w:val="00076475"/>
    <w:rsid w:val="000904BA"/>
    <w:rsid w:val="001274AE"/>
    <w:rsid w:val="001B3EC5"/>
    <w:rsid w:val="002642BD"/>
    <w:rsid w:val="002D012A"/>
    <w:rsid w:val="00361C8E"/>
    <w:rsid w:val="003A092A"/>
    <w:rsid w:val="004605A8"/>
    <w:rsid w:val="0053386E"/>
    <w:rsid w:val="0055422E"/>
    <w:rsid w:val="0068054C"/>
    <w:rsid w:val="00697AD1"/>
    <w:rsid w:val="006A19D7"/>
    <w:rsid w:val="006B582C"/>
    <w:rsid w:val="0073757F"/>
    <w:rsid w:val="007668E7"/>
    <w:rsid w:val="007A6602"/>
    <w:rsid w:val="0080777D"/>
    <w:rsid w:val="00832077"/>
    <w:rsid w:val="00855B0E"/>
    <w:rsid w:val="008D3A92"/>
    <w:rsid w:val="00902B6C"/>
    <w:rsid w:val="00902E48"/>
    <w:rsid w:val="00915B35"/>
    <w:rsid w:val="0094604B"/>
    <w:rsid w:val="00A750CE"/>
    <w:rsid w:val="00AA60F7"/>
    <w:rsid w:val="00AC4CB4"/>
    <w:rsid w:val="00AE2E47"/>
    <w:rsid w:val="00B55307"/>
    <w:rsid w:val="00C74653"/>
    <w:rsid w:val="00CE69B8"/>
    <w:rsid w:val="00D46AC7"/>
    <w:rsid w:val="00D65D68"/>
    <w:rsid w:val="00DA6C8E"/>
    <w:rsid w:val="00DD1E51"/>
    <w:rsid w:val="00EB037A"/>
    <w:rsid w:val="00EE06E2"/>
    <w:rsid w:val="00F5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9F7E"/>
  <w15:chartTrackingRefBased/>
  <w15:docId w15:val="{FBC2AD6E-7C7D-F34E-B617-175F040C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E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1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1E5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D1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229230-59b3-4fd8-af36-138931aade8d}" enabled="1" method="Standard" siteId="{a79016de-bdd0-4e47-91f4-79416ab912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521</Words>
  <Characters>3445</Characters>
  <Application>Microsoft Office Word</Application>
  <DocSecurity>0</DocSecurity>
  <Lines>62</Lines>
  <Paragraphs>21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Adams</dc:creator>
  <cp:keywords/>
  <dc:description/>
  <cp:lastModifiedBy>Brian Adams</cp:lastModifiedBy>
  <cp:revision>3</cp:revision>
  <dcterms:created xsi:type="dcterms:W3CDTF">2026-03-25T03:55:00Z</dcterms:created>
  <dcterms:modified xsi:type="dcterms:W3CDTF">2026-03-25T07:16:00Z</dcterms:modified>
</cp:coreProperties>
</file>