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8298" w14:textId="77777777" w:rsidR="00264EDD" w:rsidRPr="00264EDD" w:rsidRDefault="00264EDD" w:rsidP="00264ED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Project Phase 1: The Baseline Audit</w:t>
      </w:r>
    </w:p>
    <w:p w14:paraId="48FCEB04" w14:textId="77777777" w:rsidR="00264EDD" w:rsidRPr="00264EDD" w:rsidRDefault="00264EDD" w:rsidP="00264E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1. The Objective</w:t>
      </w:r>
    </w:p>
    <w:p w14:paraId="29D0E494" w14:textId="77777777" w:rsidR="00264EDD" w:rsidRPr="00264EDD" w:rsidRDefault="00264EDD" w:rsidP="00264EDD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>To define a valid "Baseline Creatinine" for 7,676 vascular surgery patients in MIMIC-IV to accurately predict Acute Kidney Injury (AKI).</w:t>
      </w:r>
    </w:p>
    <w:p w14:paraId="4DDDB95D" w14:textId="77777777" w:rsidR="00264EDD" w:rsidRPr="00264EDD" w:rsidRDefault="00264EDD" w:rsidP="00264E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2. The Problem (The "Missing Data" Crisis)</w:t>
      </w:r>
    </w:p>
    <w:p w14:paraId="4E1CF615" w14:textId="77777777" w:rsidR="00264EDD" w:rsidRPr="00264EDD" w:rsidRDefault="00264EDD" w:rsidP="00264E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Initial analysis showed only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27.7%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of patients had "Gold Standard" pre-op labs (drawn 1-7 days before surgery).</w:t>
      </w:r>
    </w:p>
    <w:p w14:paraId="4819608A" w14:textId="77777777" w:rsidR="00264EDD" w:rsidRPr="00264EDD" w:rsidRDefault="00264EDD" w:rsidP="00264ED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Risk: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Dropping the rest would destroy sample size.</w:t>
      </w:r>
    </w:p>
    <w:p w14:paraId="109970F7" w14:textId="77777777" w:rsidR="00264EDD" w:rsidRPr="00264EDD" w:rsidRDefault="00264EDD" w:rsidP="00264ED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Risk: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Using older data (up to 1 year) or Day-of-Surgery data creates bias (stale data vs. fluid shifts).</w:t>
      </w:r>
    </w:p>
    <w:p w14:paraId="698F7D9C" w14:textId="77777777" w:rsidR="00264EDD" w:rsidRPr="00264EDD" w:rsidRDefault="00264EDD" w:rsidP="00264E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3. The Investigation (Sensitivity Analysis)</w:t>
      </w:r>
    </w:p>
    <w:p w14:paraId="40D2A742" w14:textId="77777777" w:rsidR="00264EDD" w:rsidRPr="00264EDD" w:rsidRDefault="00264EDD" w:rsidP="00264ED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>We ran two "Drift Analyses" to see if we could trust the imperfect data sources.</w:t>
      </w:r>
    </w:p>
    <w:p w14:paraId="6C6763CB" w14:textId="77777777" w:rsidR="00264EDD" w:rsidRPr="00264EDD" w:rsidRDefault="00264EDD" w:rsidP="00264ED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Test A: Can we trust "Remote" data (8-365 days old)?</w:t>
      </w:r>
    </w:p>
    <w:p w14:paraId="556C5443" w14:textId="77777777" w:rsidR="00264EDD" w:rsidRPr="00264EDD" w:rsidRDefault="00264EDD" w:rsidP="00264EDD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Method: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Compared Remote vs. Recent labs in the same patients.</w:t>
      </w:r>
    </w:p>
    <w:p w14:paraId="37E96F5F" w14:textId="77777777" w:rsidR="00264EDD" w:rsidRPr="00264EDD" w:rsidRDefault="00264EDD" w:rsidP="00264EDD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Result: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FAILED.</w:t>
      </w:r>
    </w:p>
    <w:p w14:paraId="116271F8" w14:textId="77777777" w:rsidR="00264EDD" w:rsidRPr="00264EDD" w:rsidRDefault="00264EDD" w:rsidP="00264EDD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Stats: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37%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of patients had a clinically significant change (&gt;0.3 mg/dL). Remote labs systematically </w:t>
      </w:r>
      <w:r w:rsidRPr="00264ED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underestimated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risk (Mean Error = 0.63 mg/dL).</w:t>
      </w:r>
    </w:p>
    <w:p w14:paraId="08BB0480" w14:textId="77777777" w:rsidR="00264EDD" w:rsidRPr="00264EDD" w:rsidRDefault="00264EDD" w:rsidP="00264ED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Test B: Can we trust "Day of Surgery" data (Day 0)?</w:t>
      </w:r>
    </w:p>
    <w:p w14:paraId="09A847F8" w14:textId="77777777" w:rsidR="00264EDD" w:rsidRPr="00264EDD" w:rsidRDefault="00264EDD" w:rsidP="00264EDD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Method: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Compared Day 0 vs. Recent labs.</w:t>
      </w:r>
    </w:p>
    <w:p w14:paraId="17DDA1AE" w14:textId="77777777" w:rsidR="00264EDD" w:rsidRPr="00264EDD" w:rsidRDefault="00264EDD" w:rsidP="00264EDD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Result: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PASSED (with caveats).</w:t>
      </w:r>
    </w:p>
    <w:p w14:paraId="2C90469C" w14:textId="77777777" w:rsidR="00264EDD" w:rsidRPr="00264EDD" w:rsidRDefault="00264EDD" w:rsidP="00264EDD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Stats: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Much more stable (Mean Error = 0.30 mg/dL). Showed slight "dehydration bias" (Cr slightly higher), which is safer for risk modeling than the "dilution bias" we feared.</w:t>
      </w:r>
    </w:p>
    <w:p w14:paraId="35F1A391" w14:textId="77777777" w:rsidR="00264EDD" w:rsidRPr="00264EDD" w:rsidRDefault="00264EDD" w:rsidP="00264E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4. The Solution: "The Hierarchy of Truth"</w:t>
      </w:r>
    </w:p>
    <w:p w14:paraId="121CC3CD" w14:textId="77777777" w:rsidR="00264EDD" w:rsidRPr="00264EDD" w:rsidRDefault="00264EDD" w:rsidP="00264ED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>Based on the error rates (MAE), we established a strict priority logic to construct the baseline:</w:t>
      </w:r>
    </w:p>
    <w:p w14:paraId="749045F1" w14:textId="77777777" w:rsidR="00264EDD" w:rsidRPr="00264EDD" w:rsidRDefault="00264EDD" w:rsidP="00264ED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Gold: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Use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Recent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(-1 to -7 days) if available.</w:t>
      </w:r>
    </w:p>
    <w:p w14:paraId="5DD830C6" w14:textId="77777777" w:rsidR="00264EDD" w:rsidRPr="00264EDD" w:rsidRDefault="00264EDD" w:rsidP="00264ED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Silver: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Use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Day 0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if Recent is missing (Error is 2x lower than Remote).</w:t>
      </w:r>
    </w:p>
    <w:p w14:paraId="49D4104B" w14:textId="77777777" w:rsidR="00264EDD" w:rsidRPr="00264EDD" w:rsidRDefault="00264EDD" w:rsidP="00264ED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Bronze: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Use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Remote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(-8 to -365 days) only as a last resort.</w:t>
      </w:r>
    </w:p>
    <w:p w14:paraId="6781EA74" w14:textId="77777777" w:rsidR="00264EDD" w:rsidRPr="00264EDD" w:rsidRDefault="00264EDD" w:rsidP="00264ED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Drop: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Exclude the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12.4%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(N=950) with absolutely no data. Imputation is unsafe for this group.</w:t>
      </w:r>
    </w:p>
    <w:p w14:paraId="7E0C62D7" w14:textId="77777777" w:rsidR="00264EDD" w:rsidRPr="00264EDD" w:rsidRDefault="00EA0207" w:rsidP="00264ED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0207">
        <w:rPr>
          <w:rFonts w:ascii="Arial" w:eastAsia="Times New Roman" w:hAnsi="Arial" w:cs="Arial"/>
          <w:noProof/>
          <w:color w:val="1F1F1F"/>
          <w:kern w:val="0"/>
        </w:rPr>
        <w:pict w14:anchorId="16E68AEA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3C38D83A" w14:textId="77777777" w:rsidR="00264EDD" w:rsidRPr="00264EDD" w:rsidRDefault="00264EDD" w:rsidP="00264ED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Project Phase 2: The Outcome Generation</w:t>
      </w:r>
    </w:p>
    <w:p w14:paraId="6BCC0827" w14:textId="77777777" w:rsidR="00264EDD" w:rsidRPr="00264EDD" w:rsidRDefault="00264EDD" w:rsidP="00264E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1. The "Day 0" Safety Lock</w:t>
      </w:r>
    </w:p>
    <w:p w14:paraId="0D61AD44" w14:textId="77777777" w:rsidR="00264EDD" w:rsidRPr="00264EDD" w:rsidRDefault="00264EDD" w:rsidP="00264ED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>To prevent data leakage, we engineered the AKI calculation to be dynamic:</w:t>
      </w:r>
    </w:p>
    <w:p w14:paraId="7740CF29" w14:textId="77777777" w:rsidR="00264EDD" w:rsidRPr="00264EDD" w:rsidRDefault="00264EDD" w:rsidP="00264ED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For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Day 0 Baseline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patients, we ignore the first 24 hours of post-op data (starting AKI checks on Post-Op Day 1).</w:t>
      </w:r>
    </w:p>
    <w:p w14:paraId="0C584059" w14:textId="77777777" w:rsidR="00264EDD" w:rsidRPr="00264EDD" w:rsidRDefault="00264EDD" w:rsidP="00264ED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Why: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To ensure we aren't comparing a morning lab to an afternoon lab on the same day.</w:t>
      </w:r>
    </w:p>
    <w:p w14:paraId="30A951C0" w14:textId="77777777" w:rsidR="00264EDD" w:rsidRPr="00264EDD" w:rsidRDefault="00264EDD" w:rsidP="00264E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2. The Final Cohort Status</w:t>
      </w:r>
    </w:p>
    <w:p w14:paraId="6AB20E29" w14:textId="77777777" w:rsidR="00264EDD" w:rsidRPr="00264EDD" w:rsidRDefault="00264EDD" w:rsidP="00264ED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Total Analyzed N: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~6,726 (after dropping missing).</w:t>
      </w:r>
    </w:p>
    <w:p w14:paraId="4BD62BD0" w14:textId="77777777" w:rsidR="00264EDD" w:rsidRPr="00264EDD" w:rsidRDefault="00264EDD" w:rsidP="00264ED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Data Source Composition:</w:t>
      </w:r>
    </w:p>
    <w:p w14:paraId="725B9A22" w14:textId="77777777" w:rsidR="00264EDD" w:rsidRPr="00264EDD" w:rsidRDefault="00264EDD" w:rsidP="00264EDD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Remote (Bronze):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~36%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(Largest group - requires "limitations" disclosure).</w:t>
      </w:r>
    </w:p>
    <w:p w14:paraId="3F3506CF" w14:textId="77777777" w:rsidR="00264EDD" w:rsidRPr="00264EDD" w:rsidRDefault="00264EDD" w:rsidP="00264EDD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Recent (Gold):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~28%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05301CC" w14:textId="77777777" w:rsidR="00264EDD" w:rsidRPr="00264EDD" w:rsidRDefault="00264EDD" w:rsidP="00264EDD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Day 0 (Silver):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~24%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B78DDB4" w14:textId="77777777" w:rsidR="00264EDD" w:rsidRPr="00264EDD" w:rsidRDefault="00264EDD" w:rsidP="00264EDD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3. The Clinical Reality Check (AKI Rates)</w:t>
      </w:r>
    </w:p>
    <w:p w14:paraId="26DE2021" w14:textId="77777777" w:rsidR="00264EDD" w:rsidRPr="00264EDD" w:rsidRDefault="00264EDD" w:rsidP="00264ED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>We calculated KDIGO Stages for the final cohort:</w:t>
      </w:r>
    </w:p>
    <w:p w14:paraId="32834E62" w14:textId="77777777" w:rsidR="00264EDD" w:rsidRPr="00264EDD" w:rsidRDefault="00264EDD" w:rsidP="00264ED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Stage 3 (Severe):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9.1%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(High, but typical for vascular shock/rupture).</w:t>
      </w:r>
    </w:p>
    <w:p w14:paraId="7262C883" w14:textId="77777777" w:rsidR="00264EDD" w:rsidRPr="00264EDD" w:rsidRDefault="00264EDD" w:rsidP="00264ED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Stage 2 (Moderate):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1.5%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2B32B4C" w14:textId="77777777" w:rsidR="00264EDD" w:rsidRPr="00264EDD" w:rsidRDefault="00264EDD" w:rsidP="00264ED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Stage 1 (Mild):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11.3%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E90D70E" w14:textId="77777777" w:rsidR="00264EDD" w:rsidRPr="00264EDD" w:rsidRDefault="00264EDD" w:rsidP="00264ED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Total AKI Rate: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~21.9%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59702C2" w14:textId="77777777" w:rsidR="00264EDD" w:rsidRPr="00264EDD" w:rsidRDefault="00264EDD" w:rsidP="00264EDD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Verdict: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This aligns perfectly with existing vascular surgery literature (15-25% incidence), validating that our baseline definition is robust.</w:t>
      </w:r>
    </w:p>
    <w:p w14:paraId="1D51C20B" w14:textId="77777777" w:rsidR="00264EDD" w:rsidRPr="00264EDD" w:rsidRDefault="00EA0207" w:rsidP="00264EDD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A0207">
        <w:rPr>
          <w:rFonts w:ascii="Arial" w:eastAsia="Times New Roman" w:hAnsi="Arial" w:cs="Arial"/>
          <w:noProof/>
          <w:color w:val="1F1F1F"/>
          <w:kern w:val="0"/>
        </w:rPr>
        <w:pict w14:anchorId="6DC90D30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48DD33F" w14:textId="77777777" w:rsidR="00264EDD" w:rsidRPr="00264EDD" w:rsidRDefault="00264EDD" w:rsidP="00264EDD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Next Steps for the Group</w:t>
      </w:r>
    </w:p>
    <w:p w14:paraId="2FEDFB05" w14:textId="77777777" w:rsidR="00264EDD" w:rsidRPr="00264EDD" w:rsidRDefault="00264EDD" w:rsidP="00264ED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Target Selection: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We need to decide if we are predicting "Any AKI" (Stage 1+) or "Severe AKI" (Stage 2+).</w:t>
      </w:r>
    </w:p>
    <w:p w14:paraId="57C3AE34" w14:textId="77777777" w:rsidR="00264EDD" w:rsidRPr="00264EDD" w:rsidRDefault="00264EDD" w:rsidP="00264EDD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64ED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Feature Selection: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 xml:space="preserve"> We need to select our predictors (</w:t>
      </w:r>
      <w:r w:rsidRPr="00264EDD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$X$</w:t>
      </w:r>
      <w:r w:rsidRPr="00264EDD">
        <w:rPr>
          <w:rFonts w:ascii="Arial" w:eastAsia="Times New Roman" w:hAnsi="Arial" w:cs="Arial"/>
          <w:color w:val="1F1F1F"/>
          <w:kern w:val="0"/>
          <w14:ligatures w14:val="none"/>
        </w:rPr>
        <w:t>) carefully to avoid "Time Travel Bias" (using data that wouldn't exist yet in the real world).</w:t>
      </w:r>
    </w:p>
    <w:p w14:paraId="54ACFD9F" w14:textId="77777777" w:rsidR="00F545A3" w:rsidRDefault="00F545A3"/>
    <w:sectPr w:rsidR="00F5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3808"/>
    <w:multiLevelType w:val="multilevel"/>
    <w:tmpl w:val="91B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53B94"/>
    <w:multiLevelType w:val="multilevel"/>
    <w:tmpl w:val="CDC4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433E4"/>
    <w:multiLevelType w:val="multilevel"/>
    <w:tmpl w:val="FD9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9478D"/>
    <w:multiLevelType w:val="multilevel"/>
    <w:tmpl w:val="53F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850CB"/>
    <w:multiLevelType w:val="multilevel"/>
    <w:tmpl w:val="7EF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C4752"/>
    <w:multiLevelType w:val="multilevel"/>
    <w:tmpl w:val="CF66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EA45E0"/>
    <w:multiLevelType w:val="multilevel"/>
    <w:tmpl w:val="B586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86581">
    <w:abstractNumId w:val="2"/>
  </w:num>
  <w:num w:numId="2" w16cid:durableId="2089419371">
    <w:abstractNumId w:val="0"/>
  </w:num>
  <w:num w:numId="3" w16cid:durableId="940260681">
    <w:abstractNumId w:val="6"/>
  </w:num>
  <w:num w:numId="4" w16cid:durableId="1603301659">
    <w:abstractNumId w:val="3"/>
  </w:num>
  <w:num w:numId="5" w16cid:durableId="388498322">
    <w:abstractNumId w:val="4"/>
  </w:num>
  <w:num w:numId="6" w16cid:durableId="2106345963">
    <w:abstractNumId w:val="1"/>
  </w:num>
  <w:num w:numId="7" w16cid:durableId="1076588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DD"/>
    <w:rsid w:val="000904BA"/>
    <w:rsid w:val="00264EDD"/>
    <w:rsid w:val="00361C8E"/>
    <w:rsid w:val="00A750CE"/>
    <w:rsid w:val="00AC4CB4"/>
    <w:rsid w:val="00D65D68"/>
    <w:rsid w:val="00DA6C8E"/>
    <w:rsid w:val="00EA0207"/>
    <w:rsid w:val="00EB037A"/>
    <w:rsid w:val="00F5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36F7"/>
  <w15:chartTrackingRefBased/>
  <w15:docId w15:val="{05BE2803-F5BA-B946-BC72-65C325F4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E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4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264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229230-59b3-4fd8-af36-138931aade8d}" enabled="1" method="Standard" siteId="{a79016de-bdd0-4e47-91f4-79416ab912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2376</Characters>
  <Application>Microsoft Office Word</Application>
  <DocSecurity>0</DocSecurity>
  <Lines>59</Lines>
  <Paragraphs>49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Adams</dc:creator>
  <cp:keywords/>
  <dc:description/>
  <cp:lastModifiedBy>Brian Adams</cp:lastModifiedBy>
  <cp:revision>1</cp:revision>
  <dcterms:created xsi:type="dcterms:W3CDTF">2026-02-01T00:30:00Z</dcterms:created>
  <dcterms:modified xsi:type="dcterms:W3CDTF">2026-02-01T00:31:00Z</dcterms:modified>
</cp:coreProperties>
</file>