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Water Leak Inspection Planner</w:t>
      </w:r>
    </w:p>
    <w:p>
      <w:pPr>
        <w:jc w:val="center"/>
      </w:pPr>
      <w:r>
        <w:t>Design, Methodology, AI Components and Evaluation</w:t>
      </w:r>
    </w:p>
    <w:p>
      <w:pPr>
        <w:jc w:val="center"/>
      </w:pPr>
      <w:r>
        <w:t>SDG 6 — Clean Water and Sanitation | SDG 11 — Sustainable Cities and Communities</w:t>
      </w:r>
    </w:p>
    <w:p>
      <w:r>
        <w:t>Team name: ____________________    Team members / roll numbers: ____________________</w:t>
      </w:r>
    </w:p>
    <w:p>
      <w:r>
        <w:t>Note: This is an educational prototype using synthetic data. Review, test, and adapt it before submission.</w:t>
      </w:r>
    </w:p>
    <w:p>
      <w:pPr>
        <w:pStyle w:val="Heading1"/>
      </w:pPr>
      <w:r>
        <w:t>1. Project overview</w:t>
      </w:r>
    </w:p>
    <w:p>
      <w:r>
        <w:t>The planner prioritises suspected water leaks and allocates inspection teams under skill, availability, time-slot, and one-team-per-slot constraints. It also compares two search algorithms on a toy grid and demonstrates rule-based inference. It is decision support only; it does not dispatch crews or estimate real-world savings.</w:t>
      </w:r>
    </w:p>
    <w:p>
      <w:pPr>
        <w:pStyle w:val="Heading1"/>
      </w:pPr>
      <w:r>
        <w:t>2. SDG alignment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r>
              <w:t>Goal</w:t>
            </w:r>
          </w:p>
        </w:tc>
        <w:tc>
          <w:tcPr>
            <w:tcW w:type="dxa" w:w="3360"/>
            <w:vAlign w:val="center"/>
          </w:tcPr>
          <w:p>
            <w:r>
              <w:t>Connection</w:t>
            </w:r>
          </w:p>
        </w:tc>
        <w:tc>
          <w:tcPr>
            <w:tcW w:type="dxa" w:w="3360"/>
            <w:vAlign w:val="center"/>
          </w:tcPr>
          <w:p>
            <w:r>
              <w:t>Evidence in prototype</w:t>
            </w:r>
          </w:p>
        </w:tc>
      </w:tr>
      <w:tr>
        <w:tc>
          <w:tcPr>
            <w:tcW w:type="dxa" w:w="3360"/>
            <w:vAlign w:val="center"/>
          </w:tcPr>
          <w:p>
            <w:r>
              <w:t>SDG 6 — Clean Water and Sanitation</w:t>
            </w:r>
          </w:p>
        </w:tc>
        <w:tc>
          <w:tcPr>
            <w:tcW w:type="dxa" w:w="3360"/>
            <w:vAlign w:val="center"/>
          </w:tcPr>
          <w:p>
            <w:r>
              <w:t>Relevant to target 6.4: improving water-use efficiency and reducing water loss.</w:t>
            </w:r>
          </w:p>
        </w:tc>
        <w:tc>
          <w:tcPr>
            <w:tcW w:type="dxa" w:w="3360"/>
            <w:vAlign w:val="center"/>
          </w:tcPr>
          <w:p>
            <w:r>
              <w:t>Prioritises suspected leaks using severity, estimated leak rate, age and critical-service impact; shows urgency and schedule recommendations.</w:t>
            </w:r>
          </w:p>
        </w:tc>
      </w:tr>
      <w:tr>
        <w:tc>
          <w:tcPr>
            <w:tcW w:type="dxa" w:w="3360"/>
            <w:vAlign w:val="center"/>
          </w:tcPr>
          <w:p>
            <w:r>
              <w:t>SDG 11 — Sustainable Cities and Communities</w:t>
            </w:r>
          </w:p>
        </w:tc>
        <w:tc>
          <w:tcPr>
            <w:tcW w:type="dxa" w:w="3360"/>
            <w:vAlign w:val="center"/>
          </w:tcPr>
          <w:p>
            <w:r>
              <w:t>Supports reliable and resilient urban services and infrastructure.</w:t>
            </w:r>
          </w:p>
        </w:tc>
        <w:tc>
          <w:tcPr>
            <w:tcW w:type="dxa" w:w="3360"/>
            <w:vAlign w:val="center"/>
          </w:tcPr>
          <w:p>
            <w:r>
              <w:t>Highlights critical-service reports and allocates qualified teams to inspection slots.</w:t>
            </w:r>
          </w:p>
        </w:tc>
      </w:tr>
    </w:tbl>
    <w:p>
      <w:r>
        <w:t>These are potential contributions, not claims that the software itself achieves the SDG targets. No actual water savings are measured.</w:t>
      </w:r>
    </w:p>
    <w:p>
      <w:pPr>
        <w:pStyle w:val="Heading1"/>
      </w:pPr>
      <w:r>
        <w:t>3. CO1 — Agent and environment</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t>PEAS element</w:t>
            </w:r>
          </w:p>
        </w:tc>
        <w:tc>
          <w:tcPr>
            <w:tcW w:type="dxa" w:w="5040"/>
            <w:vAlign w:val="center"/>
          </w:tcPr>
          <w:p>
            <w:r>
              <w:t>Specification</w:t>
            </w:r>
          </w:p>
        </w:tc>
      </w:tr>
      <w:tr>
        <w:tc>
          <w:tcPr>
            <w:tcW w:type="dxa" w:w="5040"/>
            <w:vAlign w:val="center"/>
          </w:tcPr>
          <w:p>
            <w:r>
              <w:t>Performance</w:t>
            </w:r>
          </w:p>
        </w:tc>
        <w:tc>
          <w:tcPr>
            <w:tcW w:type="dxa" w:w="5040"/>
            <w:vAlign w:val="center"/>
          </w:tcPr>
          <w:p>
            <w:r>
              <w:t>Prioritise urgent reports; produce valid assignments; compare route cost and nodes expanded; provide traceable inference.</w:t>
            </w:r>
          </w:p>
        </w:tc>
      </w:tr>
      <w:tr>
        <w:tc>
          <w:tcPr>
            <w:tcW w:type="dxa" w:w="5040"/>
            <w:vAlign w:val="center"/>
          </w:tcPr>
          <w:p>
            <w:r>
              <w:t>Environment</w:t>
            </w:r>
          </w:p>
        </w:tc>
        <w:tc>
          <w:tcPr>
            <w:tcW w:type="dxa" w:w="5040"/>
            <w:vAlign w:val="center"/>
          </w:tcPr>
          <w:p>
            <w:r>
              <w:t>Synthetic leak reports, inspection teams, discrete slots, and a 5×5 grid with blocked cells.</w:t>
            </w:r>
          </w:p>
        </w:tc>
      </w:tr>
      <w:tr>
        <w:tc>
          <w:tcPr>
            <w:tcW w:type="dxa" w:w="5040"/>
            <w:vAlign w:val="center"/>
          </w:tcPr>
          <w:p>
            <w:r>
              <w:t>Actuators</w:t>
            </w:r>
          </w:p>
        </w:tc>
        <w:tc>
          <w:tcPr>
            <w:tcW w:type="dxa" w:w="5040"/>
            <w:vAlign w:val="center"/>
          </w:tcPr>
          <w:p>
            <w:r>
              <w:t>Display ranking, route, team-slot assignment, reasoning trace, and JSON export.</w:t>
            </w:r>
          </w:p>
        </w:tc>
      </w:tr>
      <w:tr>
        <w:tc>
          <w:tcPr>
            <w:tcW w:type="dxa" w:w="5040"/>
            <w:vAlign w:val="center"/>
          </w:tcPr>
          <w:p>
            <w:r>
              <w:t>Sensors</w:t>
            </w:r>
          </w:p>
        </w:tc>
        <w:tc>
          <w:tcPr>
            <w:tcW w:type="dxa" w:w="5040"/>
            <w:vAlign w:val="center"/>
          </w:tcPr>
          <w:p>
            <w:r>
              <w:t>Leak severity, report age, estimated leak rate, critical-service flag, required skill, team skills/availability, and grid map.</w:t>
            </w:r>
          </w:p>
        </w:tc>
      </w:tr>
    </w:tbl>
    <w:p>
      <w:r>
        <w:t>Agent: planning assistant. Goals: transparent prioritisation, feasible allocation, route comparison, and explainable rule conclusions. Inputs are synthetic report and team fields plus the grid. Outputs are ranked reports, routes, assignments, and conclusions.</w:t>
      </w:r>
    </w:p>
    <w:p>
      <w:pPr>
        <w:pStyle w:val="Heading1"/>
      </w:pPr>
      <w:r>
        <w:t>Workflow</w:t>
      </w:r>
    </w:p>
    <w:p>
      <w:pPr>
        <w:pStyle w:val="ListNumber"/>
      </w:pPr>
      <w:r>
        <w:t>Load synthetic report and crew data.</w:t>
      </w:r>
    </w:p>
    <w:p>
      <w:pPr>
        <w:pStyle w:val="ListNumber"/>
      </w:pPr>
      <w:r>
        <w:t>Calculate a transparent priority score.</w:t>
      </w:r>
    </w:p>
    <w:p>
      <w:pPr>
        <w:pStyle w:val="ListNumber"/>
      </w:pPr>
      <w:r>
        <w:t>Run UCS and A* on the same route problem.</w:t>
      </w:r>
    </w:p>
    <w:p>
      <w:pPr>
        <w:pStyle w:val="ListNumber"/>
      </w:pPr>
      <w:r>
        <w:t>Solve the crew allocation CSP using backtracking and forward checking.</w:t>
      </w:r>
    </w:p>
    <w:p>
      <w:pPr>
        <w:pStyle w:val="ListNumber"/>
      </w:pPr>
      <w:r>
        <w:t>Apply forward-chaining rules and answer two urgency queries.</w:t>
      </w:r>
    </w:p>
    <w:p>
      <w:pPr>
        <w:pStyle w:val="ListNumber"/>
      </w:pPr>
      <w:r>
        <w:t>Display results and allow JSON export.</w:t>
      </w:r>
    </w:p>
    <w:p>
      <w:pPr>
        <w:pStyle w:val="Heading1"/>
      </w:pPr>
      <w:r>
        <w:t>Assumptions and performance measures</w:t>
      </w:r>
    </w:p>
    <w:p>
      <w:r>
        <w:t>Assumptions: one team performs at most one inspection per slot; a team must have the required skill and be available; allowed slots are hard constraints; each grid move costs one unit; priority weights are illustrative; no live dispatch occurs.</w:t>
      </w:r>
    </w:p>
    <w:p>
      <w:r>
        <w:t>Measures: valid assignments / eligible tasks, ranking order, route solution cost, nodes expanded, and whether inference conclusions are derivable from supplied facts and rules.</w:t>
      </w:r>
    </w:p>
    <w:p>
      <w:pPr>
        <w:pStyle w:val="Heading1"/>
      </w:pPr>
      <w:r>
        <w:t>4. CO2 — Search</w:t>
      </w:r>
    </w:p>
    <w:p>
      <w:pPr>
        <w:pStyle w:val="Heading2"/>
      </w:pPr>
      <w:r>
        <w:t>State space and actions</w:t>
      </w:r>
    </w:p>
    <w:p>
      <w:r>
        <w:t>A state is a grid coordinate (x,y). Start=(0,0); goal=(4,4). Actions move one cell up, down, left, or right, staying inside the 5×5 grid and avoiding blocked cells. Each move costs 1. The goal test is reaching (4,4).</w:t>
      </w:r>
    </w:p>
    <w:p>
      <w:pPr>
        <w:pStyle w:val="Heading2"/>
      </w:pPr>
      <w:r>
        <w:t>Uniform-cost search</w:t>
      </w:r>
    </w:p>
    <w:p>
      <w:r>
        <w:t>UCS expands the frontier state with lowest accumulated path cost g(n). With positive unit step costs, it finds an optimal route.</w:t>
      </w:r>
    </w:p>
    <w:p>
      <w:pPr>
        <w:pStyle w:val="Heading2"/>
      </w:pPr>
      <w:r>
        <w:t>A* search and heuristic</w:t>
      </w:r>
    </w:p>
    <w:p>
      <w:r>
        <w:t>A* orders states by f(n)=g(n)+h(n), with Manhattan heuristic h(n)=|x−x_goal|+|y−y_goal|. For four-direction unit-cost moves, this heuristic is admissible and consistent. Obstacles can increase the true route cost but cannot make it less than Manhattan distance.</w:t>
      </w:r>
    </w:p>
    <w:p>
      <w:r>
        <w:t>Both methods are run on the same fixed grid. The application reports the path, cost, and expanded nodes. Tie-breaking is deterministic in the implementation; expanded-node counts are implementation-dependent.</w:t>
      </w:r>
    </w:p>
    <w:p>
      <w:pPr>
        <w:pStyle w:val="Heading1"/>
      </w:pPr>
      <w:r>
        <w:t>5. CO3 — Constraint satisfaction problem</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t>CSP component</w:t>
            </w:r>
          </w:p>
        </w:tc>
        <w:tc>
          <w:tcPr>
            <w:tcW w:type="dxa" w:w="5040"/>
            <w:vAlign w:val="center"/>
          </w:tcPr>
          <w:p>
            <w:r>
              <w:t>Definition</w:t>
            </w:r>
          </w:p>
        </w:tc>
      </w:tr>
      <w:tr>
        <w:tc>
          <w:tcPr>
            <w:tcW w:type="dxa" w:w="5040"/>
            <w:vAlign w:val="center"/>
          </w:tcPr>
          <w:p>
            <w:r>
              <w:t>Variables</w:t>
            </w:r>
          </w:p>
        </w:tc>
        <w:tc>
          <w:tcPr>
            <w:tcW w:type="dxa" w:w="5040"/>
            <w:vAlign w:val="center"/>
          </w:tcPr>
          <w:p>
            <w:r>
              <w:t>One variable for each leak report.</w:t>
            </w:r>
          </w:p>
        </w:tc>
      </w:tr>
      <w:tr>
        <w:tc>
          <w:tcPr>
            <w:tcW w:type="dxa" w:w="5040"/>
            <w:vAlign w:val="center"/>
          </w:tcPr>
          <w:p>
            <w:r>
              <w:t>Domains</w:t>
            </w:r>
          </w:p>
        </w:tc>
        <w:tc>
          <w:tcPr>
            <w:tcW w:type="dxa" w:w="5040"/>
            <w:vAlign w:val="center"/>
          </w:tcPr>
          <w:p>
            <w:r>
              <w:t>Feasible (team ID, slot) pairs where skill, availability, and report slot restrictions match.</w:t>
            </w:r>
          </w:p>
        </w:tc>
      </w:tr>
      <w:tr>
        <w:tc>
          <w:tcPr>
            <w:tcW w:type="dxa" w:w="5040"/>
            <w:vAlign w:val="center"/>
          </w:tcPr>
          <w:p>
            <w:r>
              <w:t>Hard constraints</w:t>
            </w:r>
          </w:p>
        </w:tc>
        <w:tc>
          <w:tcPr>
            <w:tcW w:type="dxa" w:w="5040"/>
            <w:vAlign w:val="center"/>
          </w:tcPr>
          <w:p>
            <w:r>
              <w:t>Each leak assigned once; qualified team; team available; slot allowed; no team assigned two leaks in the same slot.</w:t>
            </w:r>
          </w:p>
        </w:tc>
      </w:tr>
      <w:tr>
        <w:tc>
          <w:tcPr>
            <w:tcW w:type="dxa" w:w="5040"/>
            <w:vAlign w:val="center"/>
          </w:tcPr>
          <w:p>
            <w:r>
              <w:t>Search / propagation</w:t>
            </w:r>
          </w:p>
        </w:tc>
        <w:tc>
          <w:tcPr>
            <w:tcW w:type="dxa" w:w="5040"/>
            <w:vAlign w:val="center"/>
          </w:tcPr>
          <w:p>
            <w:r>
              <w:t>Backtracking with Minimum Remaining Values (MRV) variable selection and forward checking.</w:t>
            </w:r>
          </w:p>
        </w:tc>
      </w:tr>
      <w:tr>
        <w:tc>
          <w:tcPr>
            <w:tcW w:type="dxa" w:w="5040"/>
            <w:vAlign w:val="center"/>
          </w:tcPr>
          <w:p>
            <w:r>
              <w:t>Validation</w:t>
            </w:r>
          </w:p>
        </w:tc>
        <w:tc>
          <w:tcPr>
            <w:tcW w:type="dxa" w:w="5040"/>
            <w:vAlign w:val="center"/>
          </w:tcPr>
          <w:p>
            <w:r>
              <w:t>Independent validator checks the assignment. An intentionally infeasible skill requirement demonstrates failure handling.</w:t>
            </w:r>
          </w:p>
        </w:tc>
      </w:tr>
    </w:tbl>
    <w:p>
      <w:r>
        <w:t>The app shows a valid assignment and a search trace when feasible. When a domain becomes empty, forward checking prunes that branch; if no branch succeeds, the solver reports no satisfying assignment.</w:t>
      </w:r>
    </w:p>
    <w:p>
      <w:pPr>
        <w:pStyle w:val="Heading1"/>
      </w:pPr>
      <w:r>
        <w:t>6. CO4 — Knowledge base and inference</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t>Rule</w:t>
            </w:r>
          </w:p>
        </w:tc>
        <w:tc>
          <w:tcPr>
            <w:tcW w:type="dxa" w:w="5040"/>
            <w:vAlign w:val="center"/>
          </w:tcPr>
          <w:p>
            <w:r>
              <w:t>Logical form</w:t>
            </w:r>
          </w:p>
        </w:tc>
      </w:tr>
      <w:tr>
        <w:tc>
          <w:tcPr>
            <w:tcW w:type="dxa" w:w="5040"/>
            <w:vAlign w:val="center"/>
          </w:tcPr>
          <w:p>
            <w:r>
              <w:t>R1</w:t>
            </w:r>
          </w:p>
        </w:tc>
        <w:tc>
          <w:tcPr>
            <w:tcW w:type="dxa" w:w="5040"/>
            <w:vAlign w:val="center"/>
          </w:tcPr>
          <w:p>
            <w:r>
              <w:t>high_severity(X) → urgent(X)</w:t>
            </w:r>
          </w:p>
        </w:tc>
      </w:tr>
      <w:tr>
        <w:tc>
          <w:tcPr>
            <w:tcW w:type="dxa" w:w="5040"/>
            <w:vAlign w:val="center"/>
          </w:tcPr>
          <w:p>
            <w:r>
              <w:t>R2</w:t>
            </w:r>
          </w:p>
        </w:tc>
        <w:tc>
          <w:tcPr>
            <w:tcW w:type="dxa" w:w="5040"/>
            <w:vAlign w:val="center"/>
          </w:tcPr>
          <w:p>
            <w:r>
              <w:t>affects_critical_service(X) → urgent(X)</w:t>
            </w:r>
          </w:p>
        </w:tc>
      </w:tr>
      <w:tr>
        <w:tc>
          <w:tcPr>
            <w:tcW w:type="dxa" w:w="5040"/>
            <w:vAlign w:val="center"/>
          </w:tcPr>
          <w:p>
            <w:r>
              <w:t>R3</w:t>
            </w:r>
          </w:p>
        </w:tc>
        <w:tc>
          <w:tcPr>
            <w:tcW w:type="dxa" w:w="5040"/>
            <w:vAlign w:val="center"/>
          </w:tcPr>
          <w:p>
            <w:r>
              <w:t>large_leak_rate(X) ∧ reported(X) → urgent(X)</w:t>
            </w:r>
          </w:p>
        </w:tc>
      </w:tr>
      <w:tr>
        <w:tc>
          <w:tcPr>
            <w:tcW w:type="dxa" w:w="5040"/>
            <w:vAlign w:val="center"/>
          </w:tcPr>
          <w:p>
            <w:r>
              <w:t>R4</w:t>
            </w:r>
          </w:p>
        </w:tc>
        <w:tc>
          <w:tcPr>
            <w:tcW w:type="dxa" w:w="5040"/>
            <w:vAlign w:val="center"/>
          </w:tcPr>
          <w:p>
            <w:r>
              <w:t>urgent(X) → inspect_first(X)</w:t>
            </w:r>
          </w:p>
        </w:tc>
      </w:tr>
    </w:tbl>
    <w:p>
      <w:r>
        <w:t>Facts include reported(X), high_severity(X), affects_critical_service(X), and large_leak_rate(X). The forward-chaining engine repeatedly fires rules until no new facts are derived.</w:t>
      </w:r>
    </w:p>
    <w:p>
      <w:r>
        <w:t>Query 1: urgent(L-101)? If a high_severity(L-101) or affects_critical_service(L-101) fact is present, R1 or R2 derives urgent(L-101). Query 2: inspect_first(L-101)? R4 derives this once urgent(L-101) is known. The app displays facts, query results, and the actual reasoning trace. An unrelated ID should not be inferred urgent without supporting facts.</w:t>
      </w:r>
    </w:p>
    <w:p>
      <w:pPr>
        <w:pStyle w:val="Heading1"/>
      </w:pPr>
      <w:r>
        <w:t>7. Evaluation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r>
              <w:t>Case</w:t>
            </w:r>
          </w:p>
        </w:tc>
        <w:tc>
          <w:tcPr>
            <w:tcW w:type="dxa" w:w="3360"/>
            <w:vAlign w:val="center"/>
          </w:tcPr>
          <w:p>
            <w:r>
              <w:t>Expected outcome</w:t>
            </w:r>
          </w:p>
        </w:tc>
        <w:tc>
          <w:tcPr>
            <w:tcW w:type="dxa" w:w="3360"/>
            <w:vAlign w:val="center"/>
          </w:tcPr>
          <w:p>
            <w:r>
              <w:t>Purpose</w:t>
            </w:r>
          </w:p>
        </w:tc>
      </w:tr>
      <w:tr>
        <w:tc>
          <w:tcPr>
            <w:tcW w:type="dxa" w:w="3360"/>
            <w:vAlign w:val="center"/>
          </w:tcPr>
          <w:p>
            <w:r>
              <w:t>T1: same grid, UCS vs A*</w:t>
            </w:r>
          </w:p>
        </w:tc>
        <w:tc>
          <w:tcPr>
            <w:tcW w:type="dxa" w:w="3360"/>
            <w:vAlign w:val="center"/>
          </w:tcPr>
          <w:p>
            <w:r>
              <w:t>Both find a route with equal optimal cost.</w:t>
            </w:r>
          </w:p>
        </w:tc>
        <w:tc>
          <w:tcPr>
            <w:tcW w:type="dxa" w:w="3360"/>
            <w:vAlign w:val="center"/>
          </w:tcPr>
          <w:p>
            <w:r>
              <w:t>Search correctness and comparison.</w:t>
            </w:r>
          </w:p>
        </w:tc>
      </w:tr>
      <w:tr>
        <w:tc>
          <w:tcPr>
            <w:tcW w:type="dxa" w:w="3360"/>
            <w:vAlign w:val="center"/>
          </w:tcPr>
          <w:p>
            <w:r>
              <w:t>T2: sample CSP</w:t>
            </w:r>
          </w:p>
        </w:tc>
        <w:tc>
          <w:tcPr>
            <w:tcW w:type="dxa" w:w="3360"/>
            <w:vAlign w:val="center"/>
          </w:tcPr>
          <w:p>
            <w:r>
              <w:t>Every leak gets a qualified available team and allowed slot.</w:t>
            </w:r>
          </w:p>
        </w:tc>
        <w:tc>
          <w:tcPr>
            <w:tcW w:type="dxa" w:w="3360"/>
            <w:vAlign w:val="center"/>
          </w:tcPr>
          <w:p>
            <w:r>
              <w:t>Assignment validity.</w:t>
            </w:r>
          </w:p>
        </w:tc>
      </w:tr>
      <w:tr>
        <w:tc>
          <w:tcPr>
            <w:tcW w:type="dxa" w:w="3360"/>
            <w:vAlign w:val="center"/>
          </w:tcPr>
          <w:p>
            <w:r>
              <w:t>T3: missing skill constraint</w:t>
            </w:r>
          </w:p>
        </w:tc>
        <w:tc>
          <w:tcPr>
            <w:tcW w:type="dxa" w:w="3360"/>
            <w:vAlign w:val="center"/>
          </w:tcPr>
          <w:p>
            <w:r>
              <w:t>No assignment for a task requiring unavailable underwater welding.</w:t>
            </w:r>
          </w:p>
        </w:tc>
        <w:tc>
          <w:tcPr>
            <w:tcW w:type="dxa" w:w="3360"/>
            <w:vAlign w:val="center"/>
          </w:tcPr>
          <w:p>
            <w:r>
              <w:t>Failure / constrained case.</w:t>
            </w:r>
          </w:p>
        </w:tc>
      </w:tr>
      <w:tr>
        <w:tc>
          <w:tcPr>
            <w:tcW w:type="dxa" w:w="3360"/>
            <w:vAlign w:val="center"/>
          </w:tcPr>
          <w:p>
            <w:r>
              <w:t>T4: inference</w:t>
            </w:r>
          </w:p>
        </w:tc>
        <w:tc>
          <w:tcPr>
            <w:tcW w:type="dxa" w:w="3360"/>
            <w:vAlign w:val="center"/>
          </w:tcPr>
          <w:p>
            <w:r>
              <w:t>High-severity fact derives urgent and inspect_first; unrelated entity is not inferred.</w:t>
            </w:r>
          </w:p>
        </w:tc>
        <w:tc>
          <w:tcPr>
            <w:tcW w:type="dxa" w:w="3360"/>
            <w:vAlign w:val="center"/>
          </w:tcPr>
          <w:p>
            <w:r>
              <w:t>Rule correctness.</w:t>
            </w:r>
          </w:p>
        </w:tc>
      </w:tr>
      <w:tr>
        <w:tc>
          <w:tcPr>
            <w:tcW w:type="dxa" w:w="3360"/>
            <w:vAlign w:val="center"/>
          </w:tcPr>
          <w:p>
            <w:r>
              <w:t>T5: priority ranking</w:t>
            </w:r>
          </w:p>
        </w:tc>
        <w:tc>
          <w:tcPr>
            <w:tcW w:type="dxa" w:w="3360"/>
            <w:vAlign w:val="center"/>
          </w:tcPr>
          <w:p>
            <w:r>
              <w:t>Critical report affecting critical service ranks first in bundled sample.</w:t>
            </w:r>
          </w:p>
        </w:tc>
        <w:tc>
          <w:tcPr>
            <w:tcW w:type="dxa" w:w="3360"/>
            <w:vAlign w:val="center"/>
          </w:tcPr>
          <w:p>
            <w:r>
              <w:t>Priority behavior.</w:t>
            </w:r>
          </w:p>
        </w:tc>
      </w:tr>
    </w:tbl>
    <w:p>
      <w:r>
        <w:t>Run: python -m unittest discover -s tests -v. Actual test execution output is included in the ZIP under results/test_run_output.txt and summarized in results/test_results.md. Re-run in the target environment before submission.</w:t>
      </w:r>
    </w:p>
    <w:p>
      <w:pPr>
        <w:pStyle w:val="Heading1"/>
      </w:pPr>
      <w:r>
        <w:t>8. Practical limitations and future work</w:t>
      </w:r>
    </w:p>
    <w:p>
      <w:r>
        <w:t>The grid is not a real street network and costs are not travel-time estimates. Priority weights need domain validation. The CSP does not model travel between jobs or multi-hour workloads. Rules are small and deterministic. Future work could integrate GIS, uncertainty estimates, richer crew scheduling, and anonymised operational data.</w:t>
      </w:r>
    </w:p>
    <w:p>
      <w:pPr>
        <w:pStyle w:val="Heading1"/>
      </w:pPr>
      <w:r>
        <w:t>9. Reproducibility and responsible AI use</w:t>
      </w:r>
    </w:p>
    <w:p>
      <w:r>
        <w:t>The repository includes app.py, core algorithms, synthetic data, requirements, automated tests, a README, and AI_USE.md. ChatGPT was used for brainstorming, code scaffolding, test design, and documentation drafting. Team members must inspect and understand all code, rerun tests, record any changes and additional tools, and add team details and the instructor repository access before submission.</w:t>
      </w:r>
    </w:p>
    <w:p>
      <w:pPr>
        <w:pStyle w:val="Heading1"/>
      </w:pPr>
      <w:r>
        <w:t>References</w:t>
      </w:r>
    </w:p>
    <w:p>
      <w:pPr>
        <w:pStyle w:val="ListBullet"/>
      </w:pPr>
      <w:r>
        <w:t>United Nations. Sustainable Development Goal 6: Clean Water and Sanitation. https://sdgs.un.org/goals/goal6</w:t>
      </w:r>
    </w:p>
    <w:p>
      <w:pPr>
        <w:pStyle w:val="ListBullet"/>
      </w:pPr>
      <w:r>
        <w:t>United Nations. Sustainable Development Goal 11: Sustainable Cities and Communities. https://sdgs.un.org/goals/goal11</w:t>
      </w:r>
    </w:p>
    <w:p>
      <w:pPr>
        <w:pStyle w:val="ListBullet"/>
      </w:pPr>
      <w:r>
        <w:t>Hart, P. E., Nilsson, N. J., &amp; Raphael, B. (1968). A Formal Basis for the Heuristic Determination of Minimum Cost Paths. IEEE Transactions on Systems Science and Cybernetics, 4(2), 100–107.</w:t>
      </w:r>
    </w:p>
    <w:p>
      <w:pPr>
        <w:pStyle w:val="ListBullet"/>
      </w:pPr>
      <w:r>
        <w:t>Russell, S., &amp; Norvig, P. (2021). Artificial Intelligence: A Modern Approach (4th ed.). Pearson.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