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both"/>
        <w:rPr>
          <w:sz w:val="30"/>
          <w:szCs w:val="30"/>
        </w:rPr>
      </w:pPr>
      <w:r w:rsidDel="00000000" w:rsidR="00000000" w:rsidRPr="00000000">
        <w:rPr>
          <w:sz w:val="30"/>
          <w:szCs w:val="30"/>
          <w:rtl w:val="0"/>
        </w:rPr>
        <w:t xml:space="preserve">Cómo desplegar Acredittia en entorno local</w:t>
      </w:r>
    </w:p>
    <w:p w:rsidR="00000000" w:rsidDel="00000000" w:rsidP="00000000" w:rsidRDefault="00000000" w:rsidRPr="00000000" w14:paraId="00000002">
      <w:pPr>
        <w:spacing w:line="276" w:lineRule="auto"/>
        <w:jc w:val="both"/>
        <w:rPr>
          <w:color w:val="000000"/>
        </w:rPr>
      </w:pPr>
      <w:r w:rsidDel="00000000" w:rsidR="00000000" w:rsidRPr="00000000">
        <w:rPr>
          <w:color w:val="000000"/>
          <w:rtl w:val="0"/>
        </w:rPr>
        <w:t xml:space="preserve">Docker Compose (PostgreSQL + FastAPI + Next.js) </w:t>
      </w:r>
    </w:p>
    <w:p w:rsidR="00000000" w:rsidDel="00000000" w:rsidP="00000000" w:rsidRDefault="00000000" w:rsidRPr="00000000" w14:paraId="00000003">
      <w:pPr>
        <w:spacing w:line="276" w:lineRule="auto"/>
        <w:jc w:val="both"/>
        <w:rPr>
          <w:color w:val="000000"/>
        </w:rPr>
      </w:pPr>
      <w:r w:rsidDel="00000000" w:rsidR="00000000" w:rsidRPr="00000000">
        <w:rPr>
          <w:color w:val="000000"/>
          <w:rtl w:val="0"/>
        </w:rPr>
        <w:t xml:space="preserve">Este documento cubre el entorno de desarrollo local con Docker Compose.</w:t>
      </w:r>
    </w:p>
    <w:p w:rsidR="00000000" w:rsidDel="00000000" w:rsidP="00000000" w:rsidRDefault="00000000" w:rsidRPr="00000000" w14:paraId="00000004">
      <w:pPr>
        <w:pStyle w:val="Heading1"/>
        <w:spacing w:before="320" w:line="276" w:lineRule="auto"/>
        <w:jc w:val="both"/>
        <w:rPr/>
      </w:pPr>
      <w:r w:rsidDel="00000000" w:rsidR="00000000" w:rsidRPr="00000000">
        <w:rPr>
          <w:rtl w:val="0"/>
        </w:rPr>
        <w:t xml:space="preserve">1. Arquitectura de despliegue</w:t>
      </w:r>
    </w:p>
    <w:p w:rsidR="00000000" w:rsidDel="00000000" w:rsidP="00000000" w:rsidRDefault="00000000" w:rsidRPr="00000000" w14:paraId="00000005">
      <w:pPr>
        <w:spacing w:line="276" w:lineRule="auto"/>
        <w:jc w:val="both"/>
        <w:rPr/>
      </w:pPr>
      <w:r w:rsidDel="00000000" w:rsidR="00000000" w:rsidRPr="00000000">
        <w:rPr>
          <w:rtl w:val="0"/>
        </w:rPr>
        <w:t xml:space="preserve">El sistema se compone de seis servicios, todos definidos en app/docker-compose.yml:</w:t>
      </w:r>
    </w:p>
    <w:tbl>
      <w:tblPr>
        <w:tblStyle w:val="Table1"/>
        <w:tblW w:w="100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8"/>
        <w:gridCol w:w="7466"/>
        <w:tblGridChange w:id="0">
          <w:tblGrid>
            <w:gridCol w:w="2578"/>
            <w:gridCol w:w="7466"/>
          </w:tblGrid>
        </w:tblGridChange>
      </w:tblGrid>
      <w:tr>
        <w:trPr>
          <w:cantSplit w:val="0"/>
          <w:trHeight w:val="265" w:hRule="atLeast"/>
          <w:tblHeader w:val="1"/>
        </w:trPr>
        <w:tc>
          <w:tcPr>
            <w:tcBorders>
              <w:top w:color="9ca3af" w:space="0" w:sz="4" w:val="single"/>
              <w:left w:color="9ca3af" w:space="0" w:sz="4" w:val="single"/>
              <w:bottom w:color="9ca3af" w:space="0" w:sz="4" w:val="single"/>
              <w:right w:color="9ca3af" w:space="0" w:sz="4" w:val="single"/>
            </w:tcBorders>
            <w:shd w:fill="1f4e5f" w:val="clear"/>
            <w:tcMar>
              <w:top w:w="90.0" w:type="dxa"/>
              <w:left w:w="100.0" w:type="dxa"/>
              <w:bottom w:w="90.0" w:type="dxa"/>
              <w:right w:w="100.0" w:type="dxa"/>
            </w:tcMar>
          </w:tcPr>
          <w:p w:rsidR="00000000" w:rsidDel="00000000" w:rsidP="00000000" w:rsidRDefault="00000000" w:rsidRPr="00000000" w14:paraId="00000006">
            <w:pPr>
              <w:spacing w:line="276" w:lineRule="auto"/>
              <w:jc w:val="both"/>
              <w:rPr/>
            </w:pPr>
            <w:r w:rsidDel="00000000" w:rsidR="00000000" w:rsidRPr="00000000">
              <w:rPr>
                <w:b w:val="1"/>
                <w:bCs w:val="1"/>
                <w:color w:val="ffffff"/>
                <w:sz w:val="20"/>
                <w:szCs w:val="20"/>
                <w:rtl w:val="0"/>
              </w:rPr>
              <w:t xml:space="preserve">Servicio</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shd w:fill="1f4e5f" w:val="clear"/>
            <w:tcMar>
              <w:top w:w="90.0" w:type="dxa"/>
              <w:left w:w="100.0" w:type="dxa"/>
              <w:bottom w:w="90.0" w:type="dxa"/>
              <w:right w:w="100.0" w:type="dxa"/>
            </w:tcMar>
          </w:tcPr>
          <w:p w:rsidR="00000000" w:rsidDel="00000000" w:rsidP="00000000" w:rsidRDefault="00000000" w:rsidRPr="00000000" w14:paraId="00000007">
            <w:pPr>
              <w:spacing w:line="276" w:lineRule="auto"/>
              <w:jc w:val="both"/>
              <w:rPr/>
            </w:pPr>
            <w:r w:rsidDel="00000000" w:rsidR="00000000" w:rsidRPr="00000000">
              <w:rPr>
                <w:b w:val="1"/>
                <w:bCs w:val="1"/>
                <w:color w:val="ffffff"/>
                <w:sz w:val="20"/>
                <w:szCs w:val="20"/>
                <w:rtl w:val="0"/>
              </w:rPr>
              <w:t xml:space="preserve">Rol</w:t>
            </w:r>
            <w:r w:rsidDel="00000000" w:rsidR="00000000" w:rsidRPr="00000000">
              <w:rPr>
                <w:rtl w:val="0"/>
              </w:rPr>
            </w:r>
          </w:p>
        </w:tc>
      </w:tr>
      <w:tr>
        <w:trPr>
          <w:cantSplit w:val="0"/>
          <w:trHeight w:val="530" w:hRule="atLeast"/>
          <w:tblHeader w:val="0"/>
        </w:trPr>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08">
            <w:pPr>
              <w:spacing w:line="276" w:lineRule="auto"/>
              <w:jc w:val="both"/>
              <w:rPr/>
            </w:pPr>
            <w:r w:rsidDel="00000000" w:rsidR="00000000" w:rsidRPr="00000000">
              <w:rPr>
                <w:color w:val="000000"/>
                <w:sz w:val="20"/>
                <w:szCs w:val="20"/>
                <w:rtl w:val="0"/>
              </w:rPr>
              <w:t xml:space="preserve">db</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09">
            <w:pPr>
              <w:spacing w:line="276" w:lineRule="auto"/>
              <w:jc w:val="both"/>
              <w:rPr/>
            </w:pPr>
            <w:r w:rsidDel="00000000" w:rsidR="00000000" w:rsidRPr="00000000">
              <w:rPr>
                <w:color w:val="000000"/>
                <w:sz w:val="20"/>
                <w:szCs w:val="20"/>
                <w:rtl w:val="0"/>
              </w:rPr>
              <w:t xml:space="preserve">PostgreSQL 16, con Row-Level Security habilitado para el aislamiento multi-tenant</w:t>
            </w:r>
            <w:r w:rsidDel="00000000" w:rsidR="00000000" w:rsidRPr="00000000">
              <w:rPr>
                <w:rtl w:val="0"/>
              </w:rPr>
            </w:r>
          </w:p>
        </w:tc>
      </w:tr>
      <w:tr>
        <w:trPr>
          <w:cantSplit w:val="0"/>
          <w:trHeight w:val="530" w:hRule="atLeast"/>
          <w:tblHeader w:val="0"/>
        </w:trPr>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0A">
            <w:pPr>
              <w:spacing w:line="276" w:lineRule="auto"/>
              <w:jc w:val="both"/>
              <w:rPr/>
            </w:pPr>
            <w:r w:rsidDel="00000000" w:rsidR="00000000" w:rsidRPr="00000000">
              <w:rPr>
                <w:color w:val="000000"/>
                <w:sz w:val="20"/>
                <w:szCs w:val="20"/>
                <w:rtl w:val="0"/>
              </w:rPr>
              <w:t xml:space="preserve">redis</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0B">
            <w:pPr>
              <w:spacing w:line="276" w:lineRule="auto"/>
              <w:jc w:val="both"/>
              <w:rPr/>
            </w:pPr>
            <w:r w:rsidDel="00000000" w:rsidR="00000000" w:rsidRPr="00000000">
              <w:rPr>
                <w:color w:val="000000"/>
                <w:sz w:val="20"/>
                <w:szCs w:val="20"/>
                <w:rtl w:val="0"/>
              </w:rPr>
              <w:t xml:space="preserve">Broker de colas para Celery (tareas asíncronas: revisión IA, reportes, sincronizaciones)</w:t>
            </w:r>
            <w:r w:rsidDel="00000000" w:rsidR="00000000" w:rsidRPr="00000000">
              <w:rPr>
                <w:rtl w:val="0"/>
              </w:rPr>
            </w:r>
          </w:p>
        </w:tc>
      </w:tr>
      <w:tr>
        <w:trPr>
          <w:cantSplit w:val="0"/>
          <w:trHeight w:val="530" w:hRule="atLeast"/>
          <w:tblHeader w:val="0"/>
        </w:trPr>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0C">
            <w:pPr>
              <w:spacing w:line="276" w:lineRule="auto"/>
              <w:jc w:val="both"/>
              <w:rPr/>
            </w:pPr>
            <w:r w:rsidDel="00000000" w:rsidR="00000000" w:rsidRPr="00000000">
              <w:rPr>
                <w:color w:val="000000"/>
                <w:sz w:val="20"/>
                <w:szCs w:val="20"/>
                <w:rtl w:val="0"/>
              </w:rPr>
              <w:t xml:space="preserve">migrate</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0D">
            <w:pPr>
              <w:spacing w:line="276" w:lineRule="auto"/>
              <w:jc w:val="both"/>
              <w:rPr/>
            </w:pPr>
            <w:r w:rsidDel="00000000" w:rsidR="00000000" w:rsidRPr="00000000">
              <w:rPr>
                <w:color w:val="000000"/>
                <w:sz w:val="20"/>
                <w:szCs w:val="20"/>
                <w:rtl w:val="0"/>
              </w:rPr>
              <w:t xml:space="preserve">Job que aplica el esquema SQL bajo pg_advisory_lock antes de levantar la API — evita que varias réplicas compitan por el DDL</w:t>
            </w:r>
            <w:r w:rsidDel="00000000" w:rsidR="00000000" w:rsidRPr="00000000">
              <w:rPr>
                <w:rtl w:val="0"/>
              </w:rPr>
            </w:r>
          </w:p>
        </w:tc>
      </w:tr>
      <w:tr>
        <w:trPr>
          <w:cantSplit w:val="0"/>
          <w:trHeight w:val="253" w:hRule="atLeast"/>
          <w:tblHeader w:val="0"/>
        </w:trPr>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0E">
            <w:pPr>
              <w:spacing w:line="276" w:lineRule="auto"/>
              <w:jc w:val="both"/>
              <w:rPr/>
            </w:pPr>
            <w:r w:rsidDel="00000000" w:rsidR="00000000" w:rsidRPr="00000000">
              <w:rPr>
                <w:color w:val="000000"/>
                <w:sz w:val="20"/>
                <w:szCs w:val="20"/>
                <w:rtl w:val="0"/>
              </w:rPr>
              <w:t xml:space="preserve">api</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0F">
            <w:pPr>
              <w:spacing w:line="276" w:lineRule="auto"/>
              <w:jc w:val="both"/>
              <w:rPr/>
            </w:pPr>
            <w:r w:rsidDel="00000000" w:rsidR="00000000" w:rsidRPr="00000000">
              <w:rPr>
                <w:color w:val="000000"/>
                <w:sz w:val="20"/>
                <w:szCs w:val="20"/>
                <w:rtl w:val="0"/>
              </w:rPr>
              <w:t xml:space="preserve">FastAPI (Uvicorn), expone la API en /api/v1</w:t>
            </w:r>
            <w:r w:rsidDel="00000000" w:rsidR="00000000" w:rsidRPr="00000000">
              <w:rPr>
                <w:rtl w:val="0"/>
              </w:rPr>
            </w:r>
          </w:p>
        </w:tc>
      </w:tr>
      <w:tr>
        <w:trPr>
          <w:cantSplit w:val="0"/>
          <w:trHeight w:val="530" w:hRule="atLeast"/>
          <w:tblHeader w:val="0"/>
        </w:trPr>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10">
            <w:pPr>
              <w:spacing w:line="276" w:lineRule="auto"/>
              <w:jc w:val="both"/>
              <w:rPr/>
            </w:pPr>
            <w:r w:rsidDel="00000000" w:rsidR="00000000" w:rsidRPr="00000000">
              <w:rPr>
                <w:color w:val="000000"/>
                <w:sz w:val="20"/>
                <w:szCs w:val="20"/>
                <w:rtl w:val="0"/>
              </w:rPr>
              <w:t xml:space="preserve">worker</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11">
            <w:pPr>
              <w:spacing w:line="276" w:lineRule="auto"/>
              <w:jc w:val="both"/>
              <w:rPr/>
            </w:pPr>
            <w:r w:rsidDel="00000000" w:rsidR="00000000" w:rsidRPr="00000000">
              <w:rPr>
                <w:color w:val="000000"/>
                <w:sz w:val="20"/>
                <w:szCs w:val="20"/>
                <w:rtl w:val="0"/>
              </w:rPr>
              <w:t xml:space="preserve">Proceso Celery que ejecuta las tareas encoladas (revisiones IA, generación de reportes, sincronización de integraciones)</w:t>
            </w:r>
            <w:r w:rsidDel="00000000" w:rsidR="00000000" w:rsidRPr="00000000">
              <w:rPr>
                <w:rtl w:val="0"/>
              </w:rPr>
            </w:r>
          </w:p>
        </w:tc>
      </w:tr>
      <w:tr>
        <w:trPr>
          <w:cantSplit w:val="0"/>
          <w:trHeight w:val="530" w:hRule="atLeast"/>
          <w:tblHeader w:val="0"/>
        </w:trPr>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12">
            <w:pPr>
              <w:spacing w:line="276" w:lineRule="auto"/>
              <w:jc w:val="both"/>
              <w:rPr/>
            </w:pPr>
            <w:r w:rsidDel="00000000" w:rsidR="00000000" w:rsidRPr="00000000">
              <w:rPr>
                <w:color w:val="000000"/>
                <w:sz w:val="20"/>
                <w:szCs w:val="20"/>
                <w:rtl w:val="0"/>
              </w:rPr>
              <w:t xml:space="preserve">beat</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13">
            <w:pPr>
              <w:spacing w:line="276" w:lineRule="auto"/>
              <w:jc w:val="both"/>
              <w:rPr/>
            </w:pPr>
            <w:r w:rsidDel="00000000" w:rsidR="00000000" w:rsidRPr="00000000">
              <w:rPr>
                <w:color w:val="000000"/>
                <w:sz w:val="20"/>
                <w:szCs w:val="20"/>
                <w:rtl w:val="0"/>
              </w:rPr>
              <w:t xml:space="preserve">Scheduler de Celery, dispara tareas periódicas (recálculo de vencimientos, purga de temporales)</w:t>
            </w:r>
            <w:r w:rsidDel="00000000" w:rsidR="00000000" w:rsidRPr="00000000">
              <w:rPr>
                <w:rtl w:val="0"/>
              </w:rPr>
            </w:r>
          </w:p>
        </w:tc>
      </w:tr>
      <w:tr>
        <w:trPr>
          <w:cantSplit w:val="0"/>
          <w:trHeight w:val="277" w:hRule="atLeast"/>
          <w:tblHeader w:val="0"/>
        </w:trPr>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14">
            <w:pPr>
              <w:spacing w:line="276" w:lineRule="auto"/>
              <w:jc w:val="both"/>
              <w:rPr/>
            </w:pPr>
            <w:r w:rsidDel="00000000" w:rsidR="00000000" w:rsidRPr="00000000">
              <w:rPr>
                <w:color w:val="000000"/>
                <w:sz w:val="20"/>
                <w:szCs w:val="20"/>
                <w:rtl w:val="0"/>
              </w:rPr>
              <w:t xml:space="preserve">web</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15">
            <w:pPr>
              <w:spacing w:line="276" w:lineRule="auto"/>
              <w:jc w:val="both"/>
              <w:rPr/>
            </w:pPr>
            <w:r w:rsidDel="00000000" w:rsidR="00000000" w:rsidRPr="00000000">
              <w:rPr>
                <w:color w:val="000000"/>
                <w:sz w:val="20"/>
                <w:szCs w:val="20"/>
                <w:rtl w:val="0"/>
              </w:rPr>
              <w:t xml:space="preserve">Next.js, consume la API vía NEXT_PUBLIC_API_URL</w:t>
            </w:r>
            <w:r w:rsidDel="00000000" w:rsidR="00000000" w:rsidRPr="00000000">
              <w:rPr>
                <w:rtl w:val="0"/>
              </w:rPr>
            </w:r>
          </w:p>
        </w:tc>
      </w:tr>
    </w:tbl>
    <w:p w:rsidR="00000000" w:rsidDel="00000000" w:rsidP="00000000" w:rsidRDefault="00000000" w:rsidRPr="00000000" w14:paraId="00000016">
      <w:pPr>
        <w:spacing w:line="276" w:lineRule="auto"/>
        <w:jc w:val="both"/>
        <w:rPr/>
      </w:pPr>
      <w:r w:rsidDel="00000000" w:rsidR="00000000" w:rsidRPr="00000000">
        <w:rPr>
          <w:rtl w:val="0"/>
        </w:rPr>
      </w:r>
    </w:p>
    <w:p w:rsidR="00000000" w:rsidDel="00000000" w:rsidP="00000000" w:rsidRDefault="00000000" w:rsidRPr="00000000" w14:paraId="00000017">
      <w:pPr>
        <w:spacing w:line="276" w:lineRule="auto"/>
        <w:jc w:val="both"/>
        <w:rPr/>
      </w:pPr>
      <w:r w:rsidDel="00000000" w:rsidR="00000000" w:rsidRPr="00000000">
        <w:rPr>
          <w:rtl w:val="0"/>
        </w:rPr>
        <w:t xml:space="preserve">La separación entre migrate y api es intencional: el esquema se aplica una sola vez, de forma idempotente (es decir, describe una operación que da el mismo resultado sin importar cuántas veces se ejecute) y la API solo verifica que la versión de esquema coincida (assert_schema_version). Si no coincide, falla rápido en el health check en lugar de fallar a mitad de un request.</w:t>
      </w:r>
    </w:p>
    <w:p w:rsidR="00000000" w:rsidDel="00000000" w:rsidP="00000000" w:rsidRDefault="00000000" w:rsidRPr="00000000" w14:paraId="00000018">
      <w:pPr>
        <w:pStyle w:val="Heading1"/>
        <w:spacing w:before="320" w:line="276" w:lineRule="auto"/>
        <w:jc w:val="both"/>
        <w:rPr/>
      </w:pPr>
      <w:r w:rsidDel="00000000" w:rsidR="00000000" w:rsidRPr="00000000">
        <w:rPr>
          <w:rtl w:val="0"/>
        </w:rPr>
        <w:t xml:space="preserve">2. Despliegue local (desarrollo)</w:t>
      </w:r>
    </w:p>
    <w:p w:rsidR="00000000" w:rsidDel="00000000" w:rsidP="00000000" w:rsidRDefault="00000000" w:rsidRPr="00000000" w14:paraId="00000019">
      <w:pPr>
        <w:pStyle w:val="Heading2"/>
        <w:spacing w:before="240" w:line="276" w:lineRule="auto"/>
        <w:jc w:val="both"/>
        <w:rPr/>
      </w:pPr>
      <w:r w:rsidDel="00000000" w:rsidR="00000000" w:rsidRPr="00000000">
        <w:rPr>
          <w:rtl w:val="0"/>
        </w:rPr>
        <w:t xml:space="preserve">2.1 Requisitos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y Docker Compose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Puertos libres: 3000 (frontend), 8000 (API), 5432 (Postgres), 6379 (Redis)</w:t>
      </w:r>
    </w:p>
    <w:p w:rsidR="00000000" w:rsidDel="00000000" w:rsidP="00000000" w:rsidRDefault="00000000" w:rsidRPr="00000000" w14:paraId="0000001C">
      <w:pPr>
        <w:pStyle w:val="Heading2"/>
        <w:spacing w:before="240" w:line="276" w:lineRule="auto"/>
        <w:jc w:val="both"/>
        <w:rPr/>
      </w:pPr>
      <w:r w:rsidDel="00000000" w:rsidR="00000000" w:rsidRPr="00000000">
        <w:rPr>
          <w:rtl w:val="0"/>
        </w:rPr>
        <w:t xml:space="preserve">2.2 Levantar el entorno</w:t>
      </w:r>
    </w:p>
    <w:p w:rsidR="00000000" w:rsidDel="00000000" w:rsidP="00000000" w:rsidRDefault="00000000" w:rsidRPr="00000000" w14:paraId="0000001D">
      <w:pPr>
        <w:shd w:fill="f1f5f9" w:val="clear"/>
        <w:spacing w:line="276" w:lineRule="auto"/>
        <w:jc w:val="both"/>
        <w:rPr/>
      </w:pPr>
      <w:r w:rsidDel="00000000" w:rsidR="00000000" w:rsidRPr="00000000">
        <w:rPr>
          <w:rFonts w:ascii="Consolas" w:cs="Consolas" w:eastAsia="Consolas" w:hAnsi="Consolas"/>
          <w:sz w:val="20"/>
          <w:szCs w:val="20"/>
          <w:rtl w:val="0"/>
        </w:rPr>
        <w:t xml:space="preserve">cd app</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docker compose up --build</w:t>
      </w:r>
      <w:r w:rsidDel="00000000" w:rsidR="00000000" w:rsidRPr="00000000">
        <w:rPr>
          <w:rtl w:val="0"/>
        </w:rPr>
      </w:r>
    </w:p>
    <w:p w:rsidR="00000000" w:rsidDel="00000000" w:rsidP="00000000" w:rsidRDefault="00000000" w:rsidRPr="00000000" w14:paraId="0000001E">
      <w:pPr>
        <w:spacing w:line="276" w:lineRule="auto"/>
        <w:jc w:val="both"/>
        <w:rPr/>
      </w:pPr>
      <w:sdt>
        <w:sdtPr>
          <w:id w:val="864008622"/>
          <w:tag w:val="goog_rdk_0"/>
        </w:sdtPr>
        <w:sdtContent>
          <w:r w:rsidDel="00000000" w:rsidR="00000000" w:rsidRPr="00000000">
            <w:rPr>
              <w:rFonts w:ascii="Arial Unicode MS" w:cs="Arial Unicode MS" w:eastAsia="Arial Unicode MS" w:hAnsi="Arial Unicode MS"/>
              <w:rtl w:val="0"/>
            </w:rPr>
            <w:t xml:space="preserve">Esto ejecuta, en orden: db → migrate (aplica modelo_datos/*.sql) → api, worker, beat (dependen de que migrate termine con éxito) → web.</w:t>
          </w:r>
        </w:sdtContent>
      </w:sdt>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http://localhost:3000</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http://localhost:8000/api/v1</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interactiva (Swagger): http://localhost:8000/docs</w:t>
      </w:r>
    </w:p>
    <w:p w:rsidR="00000000" w:rsidDel="00000000" w:rsidP="00000000" w:rsidRDefault="00000000" w:rsidRPr="00000000" w14:paraId="00000022">
      <w:pPr>
        <w:pStyle w:val="Heading2"/>
        <w:spacing w:before="240" w:line="276" w:lineRule="auto"/>
        <w:jc w:val="both"/>
        <w:rPr/>
      </w:pPr>
      <w:r w:rsidDel="00000000" w:rsidR="00000000" w:rsidRPr="00000000">
        <w:rPr>
          <w:rtl w:val="0"/>
        </w:rPr>
        <w:t xml:space="preserve">2.3 Variables de entorno relevantes</w:t>
      </w:r>
    </w:p>
    <w:tbl>
      <w:tblPr>
        <w:tblStyle w:val="Table2"/>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8"/>
        <w:gridCol w:w="7538"/>
        <w:tblGridChange w:id="0">
          <w:tblGrid>
            <w:gridCol w:w="2398"/>
            <w:gridCol w:w="7538"/>
          </w:tblGrid>
        </w:tblGridChange>
      </w:tblGrid>
      <w:tr>
        <w:trPr>
          <w:cantSplit w:val="0"/>
          <w:trHeight w:val="269" w:hRule="atLeast"/>
          <w:tblHeader w:val="1"/>
        </w:trPr>
        <w:tc>
          <w:tcPr>
            <w:tcBorders>
              <w:top w:color="9ca3af" w:space="0" w:sz="4" w:val="single"/>
              <w:left w:color="9ca3af" w:space="0" w:sz="4" w:val="single"/>
              <w:bottom w:color="9ca3af" w:space="0" w:sz="4" w:val="single"/>
              <w:right w:color="9ca3af" w:space="0" w:sz="4" w:val="single"/>
            </w:tcBorders>
            <w:shd w:fill="1f4e5f" w:val="clear"/>
            <w:tcMar>
              <w:top w:w="90.0" w:type="dxa"/>
              <w:left w:w="100.0" w:type="dxa"/>
              <w:bottom w:w="90.0" w:type="dxa"/>
              <w:right w:w="100.0" w:type="dxa"/>
            </w:tcMar>
          </w:tcPr>
          <w:p w:rsidR="00000000" w:rsidDel="00000000" w:rsidP="00000000" w:rsidRDefault="00000000" w:rsidRPr="00000000" w14:paraId="00000023">
            <w:pPr>
              <w:spacing w:line="276" w:lineRule="auto"/>
              <w:jc w:val="both"/>
              <w:rPr/>
            </w:pPr>
            <w:r w:rsidDel="00000000" w:rsidR="00000000" w:rsidRPr="00000000">
              <w:rPr>
                <w:b w:val="1"/>
                <w:bCs w:val="1"/>
                <w:color w:val="ffffff"/>
                <w:sz w:val="20"/>
                <w:szCs w:val="20"/>
                <w:rtl w:val="0"/>
              </w:rPr>
              <w:t xml:space="preserve">Variable</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shd w:fill="1f4e5f" w:val="clear"/>
            <w:tcMar>
              <w:top w:w="90.0" w:type="dxa"/>
              <w:left w:w="100.0" w:type="dxa"/>
              <w:bottom w:w="90.0" w:type="dxa"/>
              <w:right w:w="100.0" w:type="dxa"/>
            </w:tcMar>
          </w:tcPr>
          <w:p w:rsidR="00000000" w:rsidDel="00000000" w:rsidP="00000000" w:rsidRDefault="00000000" w:rsidRPr="00000000" w14:paraId="00000024">
            <w:pPr>
              <w:spacing w:line="276" w:lineRule="auto"/>
              <w:jc w:val="both"/>
              <w:rPr/>
            </w:pPr>
            <w:sdt>
              <w:sdtPr>
                <w:id w:val="1744475875"/>
                <w:tag w:val="goog_rdk_1"/>
              </w:sdtPr>
              <w:sdtContent>
                <w:r w:rsidDel="00000000" w:rsidR="00000000" w:rsidRPr="00000000">
                  <w:rPr>
                    <w:rFonts w:ascii="Arial Unicode MS" w:cs="Arial Unicode MS" w:eastAsia="Arial Unicode MS" w:hAnsi="Arial Unicode MS"/>
                    <w:b w:val="1"/>
                    <w:bCs w:val="1"/>
                    <w:color w:val="ffffff"/>
                    <w:sz w:val="20"/>
                    <w:szCs w:val="20"/>
                    <w:rtl w:val="0"/>
                  </w:rPr>
                  <w:t xml:space="preserve">Desarrollo → Producción</w:t>
                </w:r>
              </w:sdtContent>
            </w:sdt>
            <w:r w:rsidDel="00000000" w:rsidR="00000000" w:rsidRPr="00000000">
              <w:rPr>
                <w:rtl w:val="0"/>
              </w:rPr>
            </w:r>
          </w:p>
        </w:tc>
      </w:tr>
      <w:tr>
        <w:trPr>
          <w:cantSplit w:val="0"/>
          <w:trHeight w:val="538" w:hRule="atLeast"/>
          <w:tblHeader w:val="0"/>
        </w:trPr>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25">
            <w:pPr>
              <w:spacing w:line="276" w:lineRule="auto"/>
              <w:jc w:val="both"/>
              <w:rPr/>
            </w:pPr>
            <w:r w:rsidDel="00000000" w:rsidR="00000000" w:rsidRPr="00000000">
              <w:rPr>
                <w:color w:val="000000"/>
                <w:sz w:val="20"/>
                <w:szCs w:val="20"/>
                <w:rtl w:val="0"/>
              </w:rPr>
              <w:t xml:space="preserve">DATABASE_URL</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26">
            <w:pPr>
              <w:spacing w:line="276" w:lineRule="auto"/>
              <w:jc w:val="both"/>
              <w:rPr/>
            </w:pPr>
            <w:sdt>
              <w:sdtPr>
                <w:id w:val="1902028537"/>
                <w:tag w:val="goog_rdk_2"/>
              </w:sdtPr>
              <w:sdtContent>
                <w:r w:rsidDel="00000000" w:rsidR="00000000" w:rsidRPr="00000000">
                  <w:rPr>
                    <w:rFonts w:ascii="Arial Unicode MS" w:cs="Arial Unicode MS" w:eastAsia="Arial Unicode MS" w:hAnsi="Arial Unicode MS"/>
                    <w:color w:val="000000"/>
                    <w:sz w:val="20"/>
                    <w:szCs w:val="20"/>
                    <w:rtl w:val="0"/>
                  </w:rPr>
                  <w:t xml:space="preserve">postgresql+psycopg://postgres:postgres@db:5432/acredittia → cadena de conexión al servidor PostgreSQL gestionado, con rol de aplicación restringido</w:t>
                </w:r>
              </w:sdtContent>
            </w:sdt>
            <w:r w:rsidDel="00000000" w:rsidR="00000000" w:rsidRPr="00000000">
              <w:rPr>
                <w:rtl w:val="0"/>
              </w:rPr>
            </w:r>
          </w:p>
        </w:tc>
      </w:tr>
      <w:tr>
        <w:trPr>
          <w:cantSplit w:val="0"/>
          <w:trHeight w:val="269" w:hRule="atLeast"/>
          <w:tblHeader w:val="0"/>
        </w:trPr>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27">
            <w:pPr>
              <w:spacing w:line="276" w:lineRule="auto"/>
              <w:jc w:val="both"/>
              <w:rPr/>
            </w:pPr>
            <w:r w:rsidDel="00000000" w:rsidR="00000000" w:rsidRPr="00000000">
              <w:rPr>
                <w:color w:val="000000"/>
                <w:sz w:val="20"/>
                <w:szCs w:val="20"/>
                <w:rtl w:val="0"/>
              </w:rPr>
              <w:t xml:space="preserve">DB_RLS_ENABLED</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28">
            <w:pPr>
              <w:spacing w:line="276" w:lineRule="auto"/>
              <w:jc w:val="both"/>
              <w:rPr/>
            </w:pPr>
            <w:sdt>
              <w:sdtPr>
                <w:id w:val="1000122325"/>
                <w:tag w:val="goog_rdk_3"/>
              </w:sdtPr>
              <w:sdtContent>
                <w:r w:rsidDel="00000000" w:rsidR="00000000" w:rsidRPr="00000000">
                  <w:rPr>
                    <w:rFonts w:ascii="Arial Unicode MS" w:cs="Arial Unicode MS" w:eastAsia="Arial Unicode MS" w:hAnsi="Arial Unicode MS"/>
                    <w:color w:val="000000"/>
                    <w:sz w:val="20"/>
                    <w:szCs w:val="20"/>
                    <w:rtl w:val="0"/>
                  </w:rPr>
                  <w:t xml:space="preserve">true → true (obligatorio: es el mecanismo de aislamiento multi-tenant)</w:t>
                </w:r>
              </w:sdtContent>
            </w:sdt>
            <w:r w:rsidDel="00000000" w:rsidR="00000000" w:rsidRPr="00000000">
              <w:rPr>
                <w:rtl w:val="0"/>
              </w:rPr>
            </w:r>
          </w:p>
        </w:tc>
      </w:tr>
      <w:tr>
        <w:trPr>
          <w:cantSplit w:val="0"/>
          <w:trHeight w:val="538" w:hRule="atLeast"/>
          <w:tblHeader w:val="0"/>
        </w:trPr>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29">
            <w:pPr>
              <w:spacing w:line="276" w:lineRule="auto"/>
              <w:jc w:val="both"/>
              <w:rPr/>
            </w:pPr>
            <w:r w:rsidDel="00000000" w:rsidR="00000000" w:rsidRPr="00000000">
              <w:rPr>
                <w:color w:val="000000"/>
                <w:sz w:val="20"/>
                <w:szCs w:val="20"/>
                <w:rtl w:val="0"/>
              </w:rPr>
              <w:t xml:space="preserve">JWT_SECRET</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2A">
            <w:pPr>
              <w:spacing w:line="276" w:lineRule="auto"/>
              <w:jc w:val="both"/>
              <w:rPr/>
            </w:pPr>
            <w:sdt>
              <w:sdtPr>
                <w:id w:val="1647916020"/>
                <w:tag w:val="goog_rdk_4"/>
              </w:sdtPr>
              <w:sdtContent>
                <w:r w:rsidDel="00000000" w:rsidR="00000000" w:rsidRPr="00000000">
                  <w:rPr>
                    <w:rFonts w:ascii="Arial Unicode MS" w:cs="Arial Unicode MS" w:eastAsia="Arial Unicode MS" w:hAnsi="Arial Unicode MS"/>
                    <w:color w:val="000000"/>
                    <w:sz w:val="20"/>
                    <w:szCs w:val="20"/>
                    <w:rtl w:val="0"/>
                  </w:rPr>
                  <w:t xml:space="preserve">valor de ejemplo en el archivo → debe provenir de un gestor de secretos (sección 4), nunca texto plano</w:t>
                </w:r>
              </w:sdtContent>
            </w:sdt>
            <w:r w:rsidDel="00000000" w:rsidR="00000000" w:rsidRPr="00000000">
              <w:rPr>
                <w:rtl w:val="0"/>
              </w:rPr>
            </w:r>
          </w:p>
        </w:tc>
      </w:tr>
      <w:tr>
        <w:trPr>
          <w:cantSplit w:val="0"/>
          <w:trHeight w:val="257" w:hRule="atLeast"/>
          <w:tblHeader w:val="0"/>
        </w:trPr>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2B">
            <w:pPr>
              <w:spacing w:line="276" w:lineRule="auto"/>
              <w:jc w:val="both"/>
              <w:rPr/>
            </w:pPr>
            <w:r w:rsidDel="00000000" w:rsidR="00000000" w:rsidRPr="00000000">
              <w:rPr>
                <w:color w:val="000000"/>
                <w:sz w:val="20"/>
                <w:szCs w:val="20"/>
                <w:rtl w:val="0"/>
              </w:rPr>
              <w:t xml:space="preserve">STORAGE_BACKEND</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2C">
            <w:pPr>
              <w:spacing w:line="276" w:lineRule="auto"/>
              <w:jc w:val="both"/>
              <w:rPr/>
            </w:pPr>
            <w:sdt>
              <w:sdtPr>
                <w:id w:val="-1911853544"/>
                <w:tag w:val="goog_rdk_5"/>
              </w:sdtPr>
              <w:sdtContent>
                <w:r w:rsidDel="00000000" w:rsidR="00000000" w:rsidRPr="00000000">
                  <w:rPr>
                    <w:rFonts w:ascii="Arial Unicode MS" w:cs="Arial Unicode MS" w:eastAsia="Arial Unicode MS" w:hAnsi="Arial Unicode MS"/>
                    <w:color w:val="000000"/>
                    <w:sz w:val="20"/>
                    <w:szCs w:val="20"/>
                    <w:rtl w:val="0"/>
                  </w:rPr>
                  <w:t xml:space="preserve">local (volumen Docker) → azure (Azure Blob Storage con SAS URLs)</w:t>
                </w:r>
              </w:sdtContent>
            </w:sdt>
            <w:r w:rsidDel="00000000" w:rsidR="00000000" w:rsidRPr="00000000">
              <w:rPr>
                <w:rtl w:val="0"/>
              </w:rPr>
            </w:r>
          </w:p>
        </w:tc>
      </w:tr>
      <w:tr>
        <w:trPr>
          <w:cantSplit w:val="0"/>
          <w:trHeight w:val="269" w:hRule="atLeast"/>
          <w:tblHeader w:val="0"/>
        </w:trPr>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2D">
            <w:pPr>
              <w:spacing w:line="276" w:lineRule="auto"/>
              <w:jc w:val="both"/>
              <w:rPr/>
            </w:pPr>
            <w:r w:rsidDel="00000000" w:rsidR="00000000" w:rsidRPr="00000000">
              <w:rPr>
                <w:color w:val="000000"/>
                <w:sz w:val="20"/>
                <w:szCs w:val="20"/>
                <w:rtl w:val="0"/>
              </w:rPr>
              <w:t xml:space="preserve">QUEUE_BACKEND</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2E">
            <w:pPr>
              <w:spacing w:line="276" w:lineRule="auto"/>
              <w:jc w:val="both"/>
              <w:rPr/>
            </w:pPr>
            <w:sdt>
              <w:sdtPr>
                <w:id w:val="-1667797141"/>
                <w:tag w:val="goog_rdk_6"/>
              </w:sdtPr>
              <w:sdtContent>
                <w:r w:rsidDel="00000000" w:rsidR="00000000" w:rsidRPr="00000000">
                  <w:rPr>
                    <w:rFonts w:ascii="Arial Unicode MS" w:cs="Arial Unicode MS" w:eastAsia="Arial Unicode MS" w:hAnsi="Arial Unicode MS"/>
                    <w:color w:val="000000"/>
                    <w:sz w:val="20"/>
                    <w:szCs w:val="20"/>
                    <w:rtl w:val="0"/>
                  </w:rPr>
                  <w:t xml:space="preserve">celery (o inproc sin Redis) → celery</w:t>
                </w:r>
              </w:sdtContent>
            </w:sdt>
            <w:r w:rsidDel="00000000" w:rsidR="00000000" w:rsidRPr="00000000">
              <w:rPr>
                <w:rtl w:val="0"/>
              </w:rPr>
            </w:r>
          </w:p>
        </w:tc>
      </w:tr>
      <w:tr>
        <w:trPr>
          <w:cantSplit w:val="0"/>
          <w:trHeight w:val="269" w:hRule="atLeast"/>
          <w:tblHeader w:val="0"/>
        </w:trPr>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2F">
            <w:pPr>
              <w:spacing w:line="276" w:lineRule="auto"/>
              <w:jc w:val="both"/>
              <w:rPr/>
            </w:pPr>
            <w:r w:rsidDel="00000000" w:rsidR="00000000" w:rsidRPr="00000000">
              <w:rPr>
                <w:color w:val="000000"/>
                <w:sz w:val="20"/>
                <w:szCs w:val="20"/>
                <w:rtl w:val="0"/>
              </w:rPr>
              <w:t xml:space="preserve">JWE_BACKEND</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30">
            <w:pPr>
              <w:spacing w:line="276" w:lineRule="auto"/>
              <w:jc w:val="both"/>
              <w:rPr/>
            </w:pPr>
            <w:sdt>
              <w:sdtPr>
                <w:id w:val="-1289849777"/>
                <w:tag w:val="goog_rdk_7"/>
              </w:sdtPr>
              <w:sdtContent>
                <w:r w:rsidDel="00000000" w:rsidR="00000000" w:rsidRPr="00000000">
                  <w:rPr>
                    <w:rFonts w:ascii="Arial Unicode MS" w:cs="Arial Unicode MS" w:eastAsia="Arial Unicode MS" w:hAnsi="Arial Unicode MS"/>
                    <w:color w:val="000000"/>
                    <w:sz w:val="20"/>
                    <w:szCs w:val="20"/>
                    <w:rtl w:val="0"/>
                  </w:rPr>
                  <w:t xml:space="preserve">local (volumen Docker) → keyvault (Azure Key Vault)</w:t>
                </w:r>
              </w:sdtContent>
            </w:sdt>
            <w:r w:rsidDel="00000000" w:rsidR="00000000" w:rsidRPr="00000000">
              <w:rPr>
                <w:rtl w:val="0"/>
              </w:rPr>
            </w:r>
          </w:p>
        </w:tc>
      </w:tr>
      <w:tr>
        <w:trPr>
          <w:cantSplit w:val="0"/>
          <w:trHeight w:val="281" w:hRule="atLeast"/>
          <w:tblHeader w:val="0"/>
        </w:trPr>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31">
            <w:pPr>
              <w:spacing w:line="276" w:lineRule="auto"/>
              <w:jc w:val="both"/>
              <w:rPr/>
            </w:pPr>
            <w:r w:rsidDel="00000000" w:rsidR="00000000" w:rsidRPr="00000000">
              <w:rPr>
                <w:color w:val="000000"/>
                <w:sz w:val="20"/>
                <w:szCs w:val="20"/>
                <w:rtl w:val="0"/>
              </w:rPr>
              <w:t xml:space="preserve">IA_BACKEND</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32">
            <w:pPr>
              <w:spacing w:line="276" w:lineRule="auto"/>
              <w:jc w:val="both"/>
              <w:rPr/>
            </w:pPr>
            <w:sdt>
              <w:sdtPr>
                <w:id w:val="757415389"/>
                <w:tag w:val="goog_rdk_8"/>
              </w:sdtPr>
              <w:sdtContent>
                <w:r w:rsidDel="00000000" w:rsidR="00000000" w:rsidRPr="00000000">
                  <w:rPr>
                    <w:rFonts w:ascii="Arial Unicode MS" w:cs="Arial Unicode MS" w:eastAsia="Arial Unicode MS" w:hAnsi="Arial Unicode MS"/>
                    <w:color w:val="000000"/>
                    <w:sz w:val="20"/>
                    <w:szCs w:val="20"/>
                    <w:rtl w:val="0"/>
                  </w:rPr>
                  <w:t xml:space="preserve">simulada → claude (revisión real de documentos)</w:t>
                </w:r>
              </w:sdtContent>
            </w:sdt>
            <w:r w:rsidDel="00000000" w:rsidR="00000000" w:rsidRPr="00000000">
              <w:rPr>
                <w:rtl w:val="0"/>
              </w:rPr>
            </w:r>
          </w:p>
        </w:tc>
      </w:tr>
    </w:tbl>
    <w:p w:rsidR="00000000" w:rsidDel="00000000" w:rsidP="00000000" w:rsidRDefault="00000000" w:rsidRPr="00000000" w14:paraId="00000033">
      <w:pPr>
        <w:pStyle w:val="Heading1"/>
        <w:spacing w:before="320" w:line="276" w:lineRule="auto"/>
        <w:jc w:val="both"/>
        <w:rPr/>
      </w:pPr>
      <w:r w:rsidDel="00000000" w:rsidR="00000000" w:rsidRPr="00000000">
        <w:rPr>
          <w:rtl w:val="0"/>
        </w:rPr>
        <w:t xml:space="preserve">3. Base de datos: aplicación y verificación del esquema</w:t>
      </w:r>
    </w:p>
    <w:p w:rsidR="00000000" w:rsidDel="00000000" w:rsidP="00000000" w:rsidRDefault="00000000" w:rsidRPr="00000000" w14:paraId="00000034">
      <w:pPr>
        <w:spacing w:line="276" w:lineRule="auto"/>
        <w:jc w:val="both"/>
        <w:rPr/>
      </w:pPr>
      <w:r w:rsidDel="00000000" w:rsidR="00000000" w:rsidRPr="00000000">
        <w:rPr>
          <w:rtl w:val="0"/>
        </w:rPr>
        <w:t xml:space="preserve">El esquema vive en modelo_datos/ como una secuencia de scripts SQL numerados (01_esquema.sql … 06_migracion_v11.sql), aplicados por python -m migrate.run bajo un lock a nivel de base de datos. Las migraciones son aditivas e idempotentes: pueden ejecutarse más de una vez sin duplicar objetos.</w:t>
      </w:r>
    </w:p>
    <w:p w:rsidR="00000000" w:rsidDel="00000000" w:rsidP="00000000" w:rsidRDefault="00000000" w:rsidRPr="00000000" w14:paraId="00000035">
      <w:pPr>
        <w:spacing w:line="276" w:lineRule="auto"/>
        <w:jc w:val="both"/>
        <w:rPr/>
      </w:pPr>
      <w:r w:rsidDel="00000000" w:rsidR="00000000" w:rsidRPr="00000000">
        <w:rPr>
          <w:rtl w:val="0"/>
        </w:rPr>
        <w:t xml:space="preserve">Para verificar manualmente la versión de esquema aplicada:</w:t>
      </w:r>
    </w:p>
    <w:p w:rsidR="00000000" w:rsidDel="00000000" w:rsidP="00000000" w:rsidRDefault="00000000" w:rsidRPr="00000000" w14:paraId="00000036">
      <w:pPr>
        <w:shd w:fill="f1f5f9" w:val="clear"/>
        <w:spacing w:line="276" w:lineRule="auto"/>
        <w:jc w:val="both"/>
        <w:rPr/>
      </w:pPr>
      <w:r w:rsidDel="00000000" w:rsidR="00000000" w:rsidRPr="00000000">
        <w:rPr>
          <w:rFonts w:ascii="Consolas" w:cs="Consolas" w:eastAsia="Consolas" w:hAnsi="Consolas"/>
          <w:sz w:val="20"/>
          <w:szCs w:val="20"/>
          <w:rtl w:val="0"/>
        </w:rPr>
        <w:t xml:space="preserve">docker compose exec db psql -U postgres -d acredittia -c "SELECT * FROM schema_version;"</w:t>
      </w:r>
      <w:r w:rsidDel="00000000" w:rsidR="00000000" w:rsidRPr="00000000">
        <w:rPr>
          <w:rtl w:val="0"/>
        </w:rPr>
      </w:r>
    </w:p>
    <w:p w:rsidR="00000000" w:rsidDel="00000000" w:rsidP="00000000" w:rsidRDefault="00000000" w:rsidRPr="00000000" w14:paraId="00000037">
      <w:pPr>
        <w:spacing w:line="276" w:lineRule="auto"/>
        <w:jc w:val="both"/>
        <w:rPr/>
      </w:pPr>
      <w:r w:rsidDel="00000000" w:rsidR="00000000" w:rsidRPr="00000000">
        <w:rPr>
          <w:rtl w:val="0"/>
        </w:rPr>
        <w:t xml:space="preserve">Row-Level Security se configura en 04_rls.sql. Cada request a la API resuelve el company_id del usuario autenticado y lo fija como variable de sesión de Postgres; las políticas RLS filtran automáticamente cualquier consulta a nivel de motor de base de datos, no solo a nivel de aplicación.</w:t>
      </w:r>
    </w:p>
    <w:p w:rsidR="00000000" w:rsidDel="00000000" w:rsidP="00000000" w:rsidRDefault="00000000" w:rsidRPr="00000000" w14:paraId="00000038">
      <w:pPr>
        <w:pStyle w:val="Heading1"/>
        <w:spacing w:before="320" w:line="276" w:lineRule="auto"/>
        <w:jc w:val="both"/>
        <w:rPr/>
      </w:pPr>
      <w:r w:rsidDel="00000000" w:rsidR="00000000" w:rsidRPr="00000000">
        <w:rPr>
          <w:rtl w:val="0"/>
        </w:rPr>
        <w:t xml:space="preserve">4. Despliegue en producción (Azure Container Apps)</w:t>
      </w:r>
    </w:p>
    <w:p w:rsidR="00000000" w:rsidDel="00000000" w:rsidP="00000000" w:rsidRDefault="00000000" w:rsidRPr="00000000" w14:paraId="00000039">
      <w:pPr>
        <w:spacing w:line="276" w:lineRule="auto"/>
        <w:jc w:val="both"/>
        <w:rPr/>
      </w:pPr>
      <w:r w:rsidDel="00000000" w:rsidR="00000000" w:rsidRPr="00000000">
        <w:rPr>
          <w:rtl w:val="0"/>
        </w:rPr>
        <w:t xml:space="preserve">Este documento cubre el entorno local (Docker Compose).</w:t>
      </w:r>
    </w:p>
    <w:p w:rsidR="00000000" w:rsidDel="00000000" w:rsidP="00000000" w:rsidRDefault="00000000" w:rsidRPr="00000000" w14:paraId="0000003A">
      <w:pPr>
        <w:spacing w:line="276" w:lineRule="auto"/>
        <w:jc w:val="both"/>
        <w:rPr/>
      </w:pPr>
      <w:r w:rsidDel="00000000" w:rsidR="00000000" w:rsidRPr="00000000">
        <w:rPr>
          <w:rtl w:val="0"/>
        </w:rPr>
        <w:t xml:space="preserve">Para producción en Azure, el detalle técnico completo y verificado ya existe en app/backend/DESPLIEGUE_AZURE.md — variables de entorno exactas por proceso, los tres roles de base de datos, permisos de identidad administrada, probes de salud y el cron de Celery Beat. </w:t>
      </w:r>
    </w:p>
    <w:p w:rsidR="00000000" w:rsidDel="00000000" w:rsidP="00000000" w:rsidRDefault="00000000" w:rsidRPr="00000000" w14:paraId="0000003B">
      <w:pPr>
        <w:spacing w:line="276" w:lineRule="auto"/>
        <w:jc w:val="both"/>
        <w:rPr/>
      </w:pPr>
      <w:r w:rsidDel="00000000" w:rsidR="00000000" w:rsidRPr="00000000">
        <w:rPr>
          <w:rtl w:val="0"/>
        </w:rPr>
        <w:t xml:space="preserve">Por lo tanto; esta sección solo resume el objetivo arquitectónico.</w:t>
      </w:r>
    </w:p>
    <w:p w:rsidR="00000000" w:rsidDel="00000000" w:rsidP="00000000" w:rsidRDefault="00000000" w:rsidRPr="00000000" w14:paraId="0000003C">
      <w:pPr>
        <w:spacing w:line="276" w:lineRule="auto"/>
        <w:jc w:val="both"/>
        <w:rPr/>
      </w:pPr>
      <w:r w:rsidDel="00000000" w:rsidR="00000000" w:rsidRPr="00000000">
        <w:rPr>
          <w:rtl w:val="0"/>
        </w:rPr>
        <w:t xml:space="preserve">El proyecto está diseñado para correr en Azure Container Apps, con cuatro procesos (API, worker, beat, job de migración) construidos desde una sola imagen. La base de datos usa tres roles separados a nivel de PostgreSQL — no uno solo — porque es lo que hace real la separación de privilegios del vault de credenciales JWE (ver DESPLIEGUE_AZURE.md, sección "Tres roles de base de datos, no uno"):</w:t>
      </w:r>
    </w:p>
    <w:p w:rsidR="00000000" w:rsidDel="00000000" w:rsidP="00000000" w:rsidRDefault="00000000" w:rsidRPr="00000000" w14:paraId="0000003D">
      <w:pPr>
        <w:spacing w:line="276" w:lineRule="auto"/>
        <w:jc w:val="both"/>
        <w:rPr/>
      </w:pPr>
      <w:r w:rsidDel="00000000" w:rsidR="00000000" w:rsidRPr="00000000">
        <w:rPr>
          <w:rtl w:val="0"/>
        </w:rPr>
      </w:r>
    </w:p>
    <w:tbl>
      <w:tblPr>
        <w:tblStyle w:val="Table3"/>
        <w:tblW w:w="100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9"/>
        <w:gridCol w:w="7440"/>
        <w:tblGridChange w:id="0">
          <w:tblGrid>
            <w:gridCol w:w="2569"/>
            <w:gridCol w:w="7440"/>
          </w:tblGrid>
        </w:tblGridChange>
      </w:tblGrid>
      <w:tr>
        <w:trPr>
          <w:cantSplit w:val="0"/>
          <w:trHeight w:val="288" w:hRule="atLeast"/>
          <w:tblHeader w:val="1"/>
        </w:trPr>
        <w:tc>
          <w:tcPr>
            <w:tcBorders>
              <w:top w:color="9ca3af" w:space="0" w:sz="4" w:val="single"/>
              <w:left w:color="9ca3af" w:space="0" w:sz="4" w:val="single"/>
              <w:bottom w:color="9ca3af" w:space="0" w:sz="4" w:val="single"/>
              <w:right w:color="9ca3af" w:space="0" w:sz="4" w:val="single"/>
            </w:tcBorders>
            <w:shd w:fill="1f4e5f" w:val="clear"/>
            <w:tcMar>
              <w:top w:w="90.0" w:type="dxa"/>
              <w:left w:w="100.0" w:type="dxa"/>
              <w:bottom w:w="90.0" w:type="dxa"/>
              <w:right w:w="100.0" w:type="dxa"/>
            </w:tcMar>
          </w:tcPr>
          <w:p w:rsidR="00000000" w:rsidDel="00000000" w:rsidP="00000000" w:rsidRDefault="00000000" w:rsidRPr="00000000" w14:paraId="0000003E">
            <w:pPr>
              <w:spacing w:line="276" w:lineRule="auto"/>
              <w:jc w:val="both"/>
              <w:rPr/>
            </w:pPr>
            <w:r w:rsidDel="00000000" w:rsidR="00000000" w:rsidRPr="00000000">
              <w:rPr>
                <w:b w:val="1"/>
                <w:bCs w:val="1"/>
                <w:color w:val="ffffff"/>
                <w:sz w:val="20"/>
                <w:szCs w:val="20"/>
                <w:rtl w:val="0"/>
              </w:rPr>
              <w:t xml:space="preserve">Rol</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shd w:fill="1f4e5f" w:val="clear"/>
            <w:tcMar>
              <w:top w:w="90.0" w:type="dxa"/>
              <w:left w:w="100.0" w:type="dxa"/>
              <w:bottom w:w="90.0" w:type="dxa"/>
              <w:right w:w="100.0" w:type="dxa"/>
            </w:tcMar>
          </w:tcPr>
          <w:p w:rsidR="00000000" w:rsidDel="00000000" w:rsidP="00000000" w:rsidRDefault="00000000" w:rsidRPr="00000000" w14:paraId="0000003F">
            <w:pPr>
              <w:spacing w:line="276" w:lineRule="auto"/>
              <w:jc w:val="both"/>
              <w:rPr/>
            </w:pPr>
            <w:r w:rsidDel="00000000" w:rsidR="00000000" w:rsidRPr="00000000">
              <w:rPr>
                <w:b w:val="1"/>
                <w:bCs w:val="1"/>
                <w:color w:val="ffffff"/>
                <w:sz w:val="20"/>
                <w:szCs w:val="20"/>
                <w:rtl w:val="0"/>
              </w:rPr>
              <w:t xml:space="preserve">Quién lo usa</w:t>
            </w:r>
            <w:r w:rsidDel="00000000" w:rsidR="00000000" w:rsidRPr="00000000">
              <w:rPr>
                <w:rtl w:val="0"/>
              </w:rPr>
            </w:r>
          </w:p>
        </w:tc>
      </w:tr>
      <w:tr>
        <w:trPr>
          <w:cantSplit w:val="0"/>
          <w:trHeight w:val="288" w:hRule="atLeast"/>
          <w:tblHeader w:val="0"/>
        </w:trPr>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40">
            <w:pPr>
              <w:spacing w:line="276" w:lineRule="auto"/>
              <w:jc w:val="both"/>
              <w:rPr/>
            </w:pPr>
            <w:r w:rsidDel="00000000" w:rsidR="00000000" w:rsidRPr="00000000">
              <w:rPr>
                <w:color w:val="000000"/>
                <w:sz w:val="20"/>
                <w:szCs w:val="20"/>
                <w:rtl w:val="0"/>
              </w:rPr>
              <w:t xml:space="preserve">acredittia_owner</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41">
            <w:pPr>
              <w:spacing w:line="276" w:lineRule="auto"/>
              <w:jc w:val="both"/>
              <w:rPr/>
            </w:pPr>
            <w:r w:rsidDel="00000000" w:rsidR="00000000" w:rsidRPr="00000000">
              <w:rPr>
                <w:color w:val="000000"/>
                <w:sz w:val="20"/>
                <w:szCs w:val="20"/>
                <w:rtl w:val="0"/>
              </w:rPr>
              <w:t xml:space="preserve">Job de migración — único rol dueño del esquema, puede leer credencial_jwe</w:t>
            </w:r>
            <w:r w:rsidDel="00000000" w:rsidR="00000000" w:rsidRPr="00000000">
              <w:rPr>
                <w:rtl w:val="0"/>
              </w:rPr>
            </w:r>
          </w:p>
        </w:tc>
      </w:tr>
      <w:tr>
        <w:trPr>
          <w:cantSplit w:val="0"/>
          <w:trHeight w:val="288" w:hRule="atLeast"/>
          <w:tblHeader w:val="0"/>
        </w:trPr>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42">
            <w:pPr>
              <w:spacing w:line="276" w:lineRule="auto"/>
              <w:jc w:val="both"/>
              <w:rPr/>
            </w:pPr>
            <w:r w:rsidDel="00000000" w:rsidR="00000000" w:rsidRPr="00000000">
              <w:rPr>
                <w:color w:val="000000"/>
                <w:sz w:val="20"/>
                <w:szCs w:val="20"/>
                <w:rtl w:val="0"/>
              </w:rPr>
              <w:t xml:space="preserve">acredittia_app</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43">
            <w:pPr>
              <w:spacing w:line="276" w:lineRule="auto"/>
              <w:jc w:val="both"/>
              <w:rPr/>
            </w:pPr>
            <w:r w:rsidDel="00000000" w:rsidR="00000000" w:rsidRPr="00000000">
              <w:rPr>
                <w:color w:val="000000"/>
                <w:sz w:val="20"/>
                <w:szCs w:val="20"/>
                <w:rtl w:val="0"/>
              </w:rPr>
              <w:t xml:space="preserve">API — SELECT revocado sobre credencial_jwe</w:t>
            </w:r>
            <w:r w:rsidDel="00000000" w:rsidR="00000000" w:rsidRPr="00000000">
              <w:rPr>
                <w:rtl w:val="0"/>
              </w:rPr>
            </w:r>
          </w:p>
        </w:tc>
      </w:tr>
      <w:tr>
        <w:trPr>
          <w:cantSplit w:val="0"/>
          <w:trHeight w:val="288" w:hRule="atLeast"/>
          <w:tblHeader w:val="0"/>
        </w:trPr>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44">
            <w:pPr>
              <w:spacing w:line="276" w:lineRule="auto"/>
              <w:jc w:val="both"/>
              <w:rPr/>
            </w:pPr>
            <w:r w:rsidDel="00000000" w:rsidR="00000000" w:rsidRPr="00000000">
              <w:rPr>
                <w:color w:val="000000"/>
                <w:sz w:val="20"/>
                <w:szCs w:val="20"/>
                <w:rtl w:val="0"/>
              </w:rPr>
              <w:t xml:space="preserve">acredittia_worker</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tcMar>
              <w:top w:w="90.0" w:type="dxa"/>
              <w:left w:w="100.0" w:type="dxa"/>
              <w:bottom w:w="90.0" w:type="dxa"/>
              <w:right w:w="100.0" w:type="dxa"/>
            </w:tcMar>
          </w:tcPr>
          <w:p w:rsidR="00000000" w:rsidDel="00000000" w:rsidP="00000000" w:rsidRDefault="00000000" w:rsidRPr="00000000" w14:paraId="00000045">
            <w:pPr>
              <w:spacing w:line="276" w:lineRule="auto"/>
              <w:jc w:val="both"/>
              <w:rPr/>
            </w:pPr>
            <w:r w:rsidDel="00000000" w:rsidR="00000000" w:rsidRPr="00000000">
              <w:rPr>
                <w:color w:val="000000"/>
                <w:sz w:val="20"/>
                <w:szCs w:val="20"/>
                <w:rtl w:val="0"/>
              </w:rPr>
              <w:t xml:space="preserve">Worker y beat — puede leer credencial_jwe</w:t>
            </w:r>
            <w:r w:rsidDel="00000000" w:rsidR="00000000" w:rsidRPr="00000000">
              <w:rPr>
                <w:rtl w:val="0"/>
              </w:rPr>
            </w:r>
          </w:p>
        </w:tc>
      </w:tr>
    </w:tbl>
    <w:p w:rsidR="00000000" w:rsidDel="00000000" w:rsidP="00000000" w:rsidRDefault="00000000" w:rsidRPr="00000000" w14:paraId="00000046">
      <w:pPr>
        <w:spacing w:line="276" w:lineRule="auto"/>
        <w:jc w:val="both"/>
        <w:rPr/>
      </w:pPr>
      <w:r w:rsidDel="00000000" w:rsidR="00000000" w:rsidRPr="00000000">
        <w:rPr>
          <w:rtl w:val="0"/>
        </w:rPr>
      </w:r>
    </w:p>
    <w:p w:rsidR="00000000" w:rsidDel="00000000" w:rsidP="00000000" w:rsidRDefault="00000000" w:rsidRPr="00000000" w14:paraId="00000047">
      <w:pPr>
        <w:spacing w:line="276" w:lineRule="auto"/>
        <w:jc w:val="both"/>
        <w:rPr/>
      </w:pPr>
      <w:r w:rsidDel="00000000" w:rsidR="00000000" w:rsidRPr="00000000">
        <w:rPr>
          <w:rtl w:val="0"/>
        </w:rPr>
        <w:t xml:space="preserve">El resto de la configuración de producción (Storage Account, Key Vault, Redis Cache gestionado, CORS, orden de despliegue, probes de liveness/readiness) está detallado en DESPLIEGUE_AZURE.md</w:t>
      </w:r>
    </w:p>
    <w:p w:rsidR="00000000" w:rsidDel="00000000" w:rsidP="00000000" w:rsidRDefault="00000000" w:rsidRPr="00000000" w14:paraId="00000048">
      <w:pPr>
        <w:pStyle w:val="Heading1"/>
        <w:spacing w:before="320" w:line="276" w:lineRule="auto"/>
        <w:jc w:val="both"/>
        <w:rPr/>
      </w:pPr>
      <w:r w:rsidDel="00000000" w:rsidR="00000000" w:rsidRPr="00000000">
        <w:rPr>
          <w:rtl w:val="0"/>
        </w:rPr>
        <w:t xml:space="preserve">5. Autenticación y usuarios</w:t>
      </w:r>
    </w:p>
    <w:p w:rsidR="00000000" w:rsidDel="00000000" w:rsidP="00000000" w:rsidRDefault="00000000" w:rsidRPr="00000000" w14:paraId="00000049">
      <w:pPr>
        <w:spacing w:line="276" w:lineRule="auto"/>
        <w:jc w:val="both"/>
        <w:rPr/>
      </w:pPr>
      <w:r w:rsidDel="00000000" w:rsidR="00000000" w:rsidRPr="00000000">
        <w:rPr>
          <w:rtl w:val="0"/>
        </w:rPr>
        <w:t xml:space="preserve">Acredittia gestiona su propia autenticación: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empresa: POST /auth/register (crea la empresa en estado pendiente de aprobación).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Aprobación: un usuario con rol admin aprueba vía POST /admin/companies/{id}/approve.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POST /auth/login, devuelve access token (JWT) y refresh token.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roles (admin, company, contract_admin) se asignan en la tabla users, no en un documento externo de Firestore.</w:t>
      </w:r>
    </w:p>
    <w:p w:rsidR="00000000" w:rsidDel="00000000" w:rsidP="00000000" w:rsidRDefault="00000000" w:rsidRPr="00000000" w14:paraId="0000004E">
      <w:pPr>
        <w:spacing w:line="276" w:lineRule="auto"/>
        <w:jc w:val="both"/>
        <w:rPr/>
      </w:pPr>
      <w:r w:rsidDel="00000000" w:rsidR="00000000" w:rsidRPr="00000000">
        <w:rPr>
          <w:rtl w:val="0"/>
        </w:rPr>
        <w:t xml:space="preserve">No es necesario crear usuarios manualmente en ninguna consola externa: el flujo de registro y aprobación es parte de la propia API.</w:t>
      </w:r>
    </w:p>
    <w:p w:rsidR="00000000" w:rsidDel="00000000" w:rsidP="00000000" w:rsidRDefault="00000000" w:rsidRPr="00000000" w14:paraId="0000004F">
      <w:pPr>
        <w:pStyle w:val="Heading1"/>
        <w:spacing w:before="320" w:line="276" w:lineRule="auto"/>
        <w:jc w:val="both"/>
        <w:rPr/>
      </w:pPr>
      <w:r w:rsidDel="00000000" w:rsidR="00000000" w:rsidRPr="00000000">
        <w:rPr>
          <w:rtl w:val="0"/>
        </w:rPr>
        <w:t xml:space="preserve">6. Verificación post-despliegue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/docs responde con la documentación Swagger de la API.</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health check de db (pg_isready) y de redis (redis-cli ping) deben estar en estado healthy antes de que api, worker y beat arranquen.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 FROM schema_version; debe coincidir con la versión que espera config.py (SCHEMA_VERSION_ESPERADA).</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ennegrita1" w:customStyle="1">
    <w:name w:val="Texto en negrita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ph0zzVXKNvnksXWVjaln9XWkg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4AHIhMW5UR0t4OTlBVVVoenZKeHpzN1RkNkExYzhvV1NfWU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2026-08-11T13:42:00Z</dcterms:created>
  <dc:creator>Un-named</dc:creator>
</cp:coreProperties>
</file>