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12BB" w:rsidRDefault="00D612BB">
      <w:pPr>
        <w:rPr>
          <w:rFonts w:ascii="Arial" w:hAnsi="Arial" w:cs="Arial"/>
        </w:rPr>
      </w:pPr>
    </w:p>
    <w:tbl>
      <w:tblPr>
        <w:tblW w:w="11624" w:type="dxa"/>
        <w:tblInd w:w="-1155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24"/>
      </w:tblGrid>
      <w:tr w:rsidR="00D612BB" w:rsidTr="00D612BB">
        <w:trPr>
          <w:trHeight w:val="411"/>
        </w:trPr>
        <w:tc>
          <w:tcPr>
            <w:tcW w:w="1162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:rsidR="00D612BB" w:rsidRDefault="00D612BB" w:rsidP="00915FE3">
            <w:pPr>
              <w:ind w:left="-1560" w:right="-1652"/>
              <w:jc w:val="center"/>
              <w:rPr>
                <w:b/>
              </w:rPr>
            </w:pPr>
            <w:r w:rsidRPr="00372D3F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TRABAJO </w:t>
            </w:r>
            <w: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AMEG 2022</w:t>
            </w:r>
          </w:p>
        </w:tc>
      </w:tr>
      <w:tr w:rsidR="00D612BB" w:rsidTr="00D612BB">
        <w:trPr>
          <w:trHeight w:val="1740"/>
        </w:trPr>
        <w:tc>
          <w:tcPr>
            <w:tcW w:w="1162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:rsidR="00D612BB" w:rsidRDefault="00D612BB" w:rsidP="00915FE3">
            <w:pPr>
              <w:spacing w:before="100" w:beforeAutospacing="1" w:line="276" w:lineRule="auto"/>
              <w:rPr>
                <w:rFonts w:ascii="Arial" w:eastAsia="Times New Roman" w:hAnsi="Arial" w:cs="Arial"/>
                <w:b/>
                <w:bCs/>
              </w:rPr>
            </w:pPr>
            <w:r w:rsidRPr="00731BB1">
              <w:rPr>
                <w:rFonts w:ascii="Arial" w:hAnsi="Arial" w:cs="Arial"/>
                <w:b/>
              </w:rPr>
              <w:t xml:space="preserve">TEMA: </w:t>
            </w:r>
            <w:r w:rsidRPr="00731BB1">
              <w:rPr>
                <w:rFonts w:ascii="Arial" w:hAnsi="Arial" w:cs="Arial"/>
                <w:bCs/>
              </w:rPr>
              <w:t xml:space="preserve"> </w:t>
            </w:r>
            <w:r w:rsidR="00731BB1" w:rsidRPr="00731BB1">
              <w:rPr>
                <w:rFonts w:ascii="Arial" w:eastAsia="Times New Roman" w:hAnsi="Arial" w:cs="Arial"/>
                <w:b/>
                <w:bCs/>
              </w:rPr>
              <w:t>Comparación de la eficacia de tres métodos de limpieza gástrica en endoscopia digestiva alta: N-</w:t>
            </w:r>
            <w:proofErr w:type="spellStart"/>
            <w:r w:rsidR="00731BB1" w:rsidRPr="00731BB1">
              <w:rPr>
                <w:rFonts w:ascii="Arial" w:eastAsia="Times New Roman" w:hAnsi="Arial" w:cs="Arial"/>
                <w:b/>
                <w:bCs/>
              </w:rPr>
              <w:t>acetilcisteína</w:t>
            </w:r>
            <w:proofErr w:type="spellEnd"/>
            <w:r w:rsidR="00731BB1" w:rsidRPr="00731BB1">
              <w:rPr>
                <w:rFonts w:ascii="Arial" w:eastAsia="Times New Roman" w:hAnsi="Arial" w:cs="Arial"/>
                <w:b/>
                <w:bCs/>
              </w:rPr>
              <w:t xml:space="preserve">, </w:t>
            </w:r>
            <w:proofErr w:type="spellStart"/>
            <w:r w:rsidR="00731BB1" w:rsidRPr="00731BB1">
              <w:rPr>
                <w:rFonts w:ascii="Arial" w:eastAsia="Times New Roman" w:hAnsi="Arial" w:cs="Arial"/>
                <w:b/>
                <w:bCs/>
              </w:rPr>
              <w:t>simeticona</w:t>
            </w:r>
            <w:proofErr w:type="spellEnd"/>
            <w:r w:rsidR="00731BB1" w:rsidRPr="00731BB1">
              <w:rPr>
                <w:rFonts w:ascii="Arial" w:eastAsia="Times New Roman" w:hAnsi="Arial" w:cs="Arial"/>
                <w:b/>
                <w:bCs/>
              </w:rPr>
              <w:t xml:space="preserve"> y ayuno.</w:t>
            </w:r>
          </w:p>
          <w:p w:rsidR="00F65108" w:rsidRPr="00F65108" w:rsidRDefault="00F65108" w:rsidP="00F65108">
            <w:pPr>
              <w:spacing w:before="87"/>
              <w:ind w:left="111"/>
              <w:rPr>
                <w:rFonts w:ascii="Arial"/>
                <w:b/>
                <w:i/>
                <w:lang w:val="en-US"/>
              </w:rPr>
            </w:pPr>
            <w:r w:rsidRPr="001D5483">
              <w:rPr>
                <w:rFonts w:ascii="Arial" w:hAnsi="Microsoft Sans Serif" w:cs="Microsoft Sans Serif"/>
                <w:b/>
                <w:i/>
                <w:color w:val="636466"/>
                <w:w w:val="90"/>
                <w:szCs w:val="22"/>
                <w:lang w:val="en"/>
              </w:rPr>
              <w:t>Comparison of the efficacy of three gastric cleansing methods in upper gastrointestinal endoscopy: N-acetylcysteine, simethicone, and fasting.</w:t>
            </w:r>
          </w:p>
          <w:p w:rsidR="00D612BB" w:rsidRPr="00731BB1" w:rsidRDefault="00D612BB" w:rsidP="00D612BB">
            <w:pPr>
              <w:pStyle w:val="Encabezado"/>
              <w:ind w:left="148" w:hanging="142"/>
              <w:rPr>
                <w:rFonts w:ascii="Arial" w:hAnsi="Arial" w:cs="Arial"/>
                <w:bCs/>
                <w:sz w:val="24"/>
                <w:szCs w:val="24"/>
              </w:rPr>
            </w:pPr>
            <w:r w:rsidRPr="00731BB1">
              <w:rPr>
                <w:rFonts w:ascii="Arial" w:hAnsi="Arial" w:cs="Arial"/>
                <w:b/>
                <w:sz w:val="24"/>
                <w:szCs w:val="24"/>
              </w:rPr>
              <w:t xml:space="preserve">AUTOR: </w:t>
            </w:r>
            <w:r w:rsidRPr="00731BB1">
              <w:rPr>
                <w:rFonts w:ascii="Arial" w:hAnsi="Arial" w:cs="Arial"/>
                <w:bCs/>
                <w:sz w:val="24"/>
                <w:szCs w:val="24"/>
              </w:rPr>
              <w:t xml:space="preserve">Perea Leal Jesus Erwin  </w:t>
            </w:r>
            <w:r w:rsidRPr="00731BB1">
              <w:rPr>
                <w:rFonts w:ascii="Arial" w:hAnsi="Arial" w:cs="Arial"/>
                <w:b/>
                <w:sz w:val="24"/>
                <w:szCs w:val="24"/>
              </w:rPr>
              <w:t xml:space="preserve">COAUTORES: </w:t>
            </w:r>
            <w:r w:rsidRPr="00731BB1">
              <w:rPr>
                <w:rFonts w:ascii="Arial" w:eastAsia="Calibri" w:hAnsi="Arial" w:cs="Arial"/>
                <w:sz w:val="24"/>
                <w:szCs w:val="24"/>
              </w:rPr>
              <w:t>Martín Antonio Manrique, Miguel Ángel Chávez García, Jony Cerna Cardona, Ma. Guadalupe Martinez Galindo,Teófilo Pérez Corona, Alberto Antonio Cisneros</w:t>
            </w:r>
            <w:r w:rsidR="00731BB1">
              <w:rPr>
                <w:rFonts w:ascii="Arial" w:eastAsia="Calibri" w:hAnsi="Arial" w:cs="Arial"/>
                <w:sz w:val="24"/>
                <w:szCs w:val="24"/>
              </w:rPr>
              <w:t>, Diana Marcela Morales Sanchez, Harry William Citalan Poroj, Manuel Antonio Ordoñez Penman, Gustavo Ulises Castañon Garcia.</w:t>
            </w:r>
          </w:p>
          <w:p w:rsidR="00D612BB" w:rsidRPr="00731BB1" w:rsidRDefault="00D612BB" w:rsidP="00D612BB">
            <w:pPr>
              <w:pStyle w:val="Encabezado"/>
              <w:ind w:left="148" w:hanging="142"/>
              <w:rPr>
                <w:rFonts w:ascii="Arial" w:hAnsi="Arial" w:cs="Arial"/>
                <w:bCs/>
                <w:sz w:val="24"/>
                <w:szCs w:val="24"/>
              </w:rPr>
            </w:pPr>
            <w:r w:rsidRPr="00731BB1">
              <w:rPr>
                <w:rFonts w:ascii="Arial" w:hAnsi="Arial" w:cs="Arial"/>
                <w:b/>
                <w:sz w:val="24"/>
                <w:szCs w:val="24"/>
              </w:rPr>
              <w:t xml:space="preserve">HOSPITAL: </w:t>
            </w:r>
            <w:r w:rsidRPr="00731BB1">
              <w:rPr>
                <w:rFonts w:ascii="Arial" w:hAnsi="Arial" w:cs="Arial"/>
                <w:bCs/>
                <w:sz w:val="24"/>
                <w:szCs w:val="24"/>
              </w:rPr>
              <w:t xml:space="preserve">Hospital Juárez de México        </w:t>
            </w:r>
            <w:r w:rsidRPr="00731BB1">
              <w:rPr>
                <w:rFonts w:ascii="Arial" w:hAnsi="Arial" w:cs="Arial"/>
                <w:b/>
                <w:sz w:val="24"/>
                <w:szCs w:val="24"/>
              </w:rPr>
              <w:t xml:space="preserve">CORREO: </w:t>
            </w:r>
            <w:hyperlink r:id="rId5" w:history="1">
              <w:r w:rsidRPr="00731BB1">
                <w:rPr>
                  <w:rStyle w:val="Hipervnculo"/>
                  <w:rFonts w:ascii="Arial" w:hAnsi="Arial" w:cs="Arial"/>
                  <w:bCs/>
                  <w:sz w:val="24"/>
                  <w:szCs w:val="24"/>
                </w:rPr>
                <w:t>drpereaendoscopia@icloud.com</w:t>
              </w:r>
            </w:hyperlink>
            <w:r w:rsidRPr="00731BB1">
              <w:rPr>
                <w:rFonts w:ascii="Arial" w:hAnsi="Arial" w:cs="Arial"/>
                <w:bCs/>
                <w:sz w:val="24"/>
                <w:szCs w:val="24"/>
              </w:rPr>
              <w:t xml:space="preserve">/ermed1991@gmail.com      </w:t>
            </w:r>
            <w:r w:rsidRPr="00731BB1">
              <w:rPr>
                <w:rFonts w:ascii="Arial" w:hAnsi="Arial" w:cs="Arial"/>
                <w:b/>
                <w:sz w:val="24"/>
                <w:szCs w:val="24"/>
              </w:rPr>
              <w:t xml:space="preserve">TELÉFONO: </w:t>
            </w:r>
            <w:r w:rsidR="00731BB1">
              <w:rPr>
                <w:rFonts w:ascii="Arial" w:hAnsi="Arial" w:cs="Arial"/>
                <w:bCs/>
                <w:sz w:val="24"/>
                <w:szCs w:val="24"/>
              </w:rPr>
              <w:t>999 267 5503</w:t>
            </w:r>
          </w:p>
        </w:tc>
      </w:tr>
    </w:tbl>
    <w:p w:rsidR="000009F1" w:rsidRPr="00731BB1" w:rsidRDefault="000009F1" w:rsidP="009941F0">
      <w:pPr>
        <w:jc w:val="both"/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</w:pP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Introducción:</w:t>
      </w:r>
    </w:p>
    <w:p w:rsidR="00731BB1" w:rsidRPr="00731BB1" w:rsidRDefault="00731BB1" w:rsidP="009941F0">
      <w:pPr>
        <w:jc w:val="both"/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</w:pP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La endoscopia digestiva alta constituye una herramienta para la detección temprana del cáncer gástrico e incluso puede llegar a ser terapéutica en algunos pacientes. Sin embargo, una de las desventajas presentes durante el procedimiento es la presencia de saliva, burbujas y moco que impiden la adecuada visualización de la mucosa gástrica, lo cual contribuye a la posibilidad de pasar por alto lesiones muy pequeñas. Con el fin de poder visualizar mejor la mucosa se han utilizado algunas medidas como premedicación para lavar y tratar de eliminar el moco, saliva y espuma.</w:t>
      </w:r>
    </w:p>
    <w:p w:rsidR="00731BB1" w:rsidRPr="00731BB1" w:rsidRDefault="00731BB1" w:rsidP="009941F0">
      <w:pPr>
        <w:jc w:val="both"/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</w:pP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Agentes mucolíticos y detergentes son usados para la limpieza gástrica, pero su uso no es rutinario en occidente y en la mayoría de los procedimientos solo se exige el tiempo de ayuno. En nuestro país, la preparación para mejorar la visibilidad de la mucosa gástrica no está estandarizada y en la mayoría de los centros endoscópicos públicos no se realiza.</w:t>
      </w:r>
    </w:p>
    <w:p w:rsidR="000009F1" w:rsidRPr="00F65108" w:rsidRDefault="000009F1" w:rsidP="009941F0">
      <w:pPr>
        <w:jc w:val="both"/>
        <w:rPr>
          <w:rFonts w:ascii="Arial" w:eastAsia="Times New Roman" w:hAnsi="Arial" w:cs="Arial"/>
          <w:sz w:val="20"/>
          <w:szCs w:val="20"/>
        </w:rPr>
      </w:pP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Objetivo:</w:t>
      </w:r>
      <w:r w:rsidR="00731BB1" w:rsidRPr="00731BB1">
        <w:rPr>
          <w:rFonts w:ascii="Arial" w:eastAsia="Times New Roman" w:hAnsi="Arial" w:cs="Arial"/>
          <w:sz w:val="20"/>
          <w:szCs w:val="20"/>
        </w:rPr>
        <w:t xml:space="preserve"> Comparar el grado de limpieza gástrica de acuerdo con la escala de Chang en sujetos que recibieron premedicación con N-</w:t>
      </w:r>
      <w:proofErr w:type="spellStart"/>
      <w:r w:rsidR="00731BB1" w:rsidRPr="00731BB1">
        <w:rPr>
          <w:rFonts w:ascii="Arial" w:eastAsia="Times New Roman" w:hAnsi="Arial" w:cs="Arial"/>
          <w:sz w:val="20"/>
          <w:szCs w:val="20"/>
        </w:rPr>
        <w:t>acetilcisteína</w:t>
      </w:r>
      <w:proofErr w:type="spellEnd"/>
      <w:r w:rsidR="00731BB1" w:rsidRPr="00731BB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731BB1" w:rsidRPr="00731BB1">
        <w:rPr>
          <w:rFonts w:ascii="Arial" w:eastAsia="Times New Roman" w:hAnsi="Arial" w:cs="Arial"/>
          <w:sz w:val="20"/>
          <w:szCs w:val="20"/>
        </w:rPr>
        <w:t>simeticona</w:t>
      </w:r>
      <w:proofErr w:type="spellEnd"/>
      <w:r w:rsidR="00731BB1" w:rsidRPr="00731BB1">
        <w:rPr>
          <w:rFonts w:ascii="Arial" w:eastAsia="Times New Roman" w:hAnsi="Arial" w:cs="Arial"/>
          <w:sz w:val="20"/>
          <w:szCs w:val="20"/>
        </w:rPr>
        <w:t xml:space="preserve"> o ayuno, para la realización de endoscopia digestiva alta.</w:t>
      </w:r>
    </w:p>
    <w:p w:rsidR="00731BB1" w:rsidRPr="00731BB1" w:rsidRDefault="00731BB1" w:rsidP="009941F0">
      <w:pPr>
        <w:jc w:val="both"/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</w:pP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Material y métodos: Se realiza</w:t>
      </w:r>
      <w:r w:rsidR="009941F0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ó</w:t>
      </w: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 xml:space="preserve"> un ensayo clínico para comparar la eficacia de tres métodos de limpieza gástrica en endoscopía digestiva alta: premedicación con N-acetilcisteína, con simeticona o únicamente ayuno. Se inclu</w:t>
      </w:r>
      <w:r w:rsidR="009941F0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 xml:space="preserve">yó </w:t>
      </w: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 xml:space="preserve">sujetos atendidos en el servicio de endoscopia del Hospital Juárez de México durante los meses de enero a mayo del 2022. La muestra </w:t>
      </w:r>
      <w:r w:rsidR="009941F0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fue</w:t>
      </w: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 xml:space="preserve"> por conveniencia incluyendo a todos los pacientes que cumplan los criterios de inclusión en el periodo señalado y la asignación a grupo de tratamiento mediante aleatorización simple. Se compa</w:t>
      </w:r>
      <w:r w:rsidR="009941F0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tó</w:t>
      </w: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 xml:space="preserve"> el grado de limpieza gástrica según la escala propuesta por Chang entre los tres grupos.</w:t>
      </w:r>
    </w:p>
    <w:p w:rsidR="000009F1" w:rsidRPr="00731BB1" w:rsidRDefault="000009F1" w:rsidP="009941F0">
      <w:pPr>
        <w:jc w:val="both"/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</w:pP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Resultados:</w:t>
      </w:r>
    </w:p>
    <w:p w:rsidR="00731BB1" w:rsidRPr="00731BB1" w:rsidRDefault="00731BB1" w:rsidP="009941F0">
      <w:pPr>
        <w:jc w:val="both"/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</w:pP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Se estudiaron un total de 185 pacientes en los cuales predominó el sexo femenino (62%).. La indicación más frecuente para realizar el estudio de endoscopia digestiva alta fue la dispepsia (43%) y en segundo lugar la disfagia (24%). En 86 estudios (46%) se obtuvo limpieza “óptima”, mientras que en 80 pacientes (43%) la limpieza fue “adecuada”, y en 19 pacientes (11%) la limpieza se consideró “inadecuada”.</w:t>
      </w:r>
    </w:p>
    <w:p w:rsidR="00731BB1" w:rsidRPr="00731BB1" w:rsidRDefault="00731BB1" w:rsidP="009941F0">
      <w:pPr>
        <w:jc w:val="both"/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</w:pPr>
      <w:r w:rsidRPr="00731BB1">
        <w:rPr>
          <w:rFonts w:ascii="Arial" w:hAnsi="Arial" w:cs="Arial"/>
          <w:sz w:val="20"/>
          <w:szCs w:val="20"/>
        </w:rPr>
        <w:t>Al comparar las características clínicas entre los grupos de tratamiento, observamos que son homogéneos en cuanto edad (p=0.419), ”otras morbilidades” (p=0.72) y e indicación por la cual se realizó el estudio (p=0.06). Al comparar el puntaje de la escala Chang y el grado de limpieza obtenido entre los tres fármacos se encontró que el puntaje de limpieza mas bajo (mejor limpieza) se encuentra en el grupo de N-</w:t>
      </w:r>
      <w:proofErr w:type="spellStart"/>
      <w:r w:rsidRPr="00731BB1">
        <w:rPr>
          <w:rFonts w:ascii="Arial" w:hAnsi="Arial" w:cs="Arial"/>
          <w:sz w:val="20"/>
          <w:szCs w:val="20"/>
        </w:rPr>
        <w:t>acetilcisteína</w:t>
      </w:r>
      <w:proofErr w:type="spellEnd"/>
      <w:r w:rsidRPr="00731BB1">
        <w:rPr>
          <w:rFonts w:ascii="Arial" w:hAnsi="Arial" w:cs="Arial"/>
          <w:sz w:val="20"/>
          <w:szCs w:val="20"/>
        </w:rPr>
        <w:t xml:space="preserve"> en todas las regiones gástricas y en la suma total, siguiendo en mejores puntajes el fármaco </w:t>
      </w:r>
      <w:proofErr w:type="spellStart"/>
      <w:r w:rsidRPr="00731BB1">
        <w:rPr>
          <w:rFonts w:ascii="Arial" w:hAnsi="Arial" w:cs="Arial"/>
          <w:sz w:val="20"/>
          <w:szCs w:val="20"/>
        </w:rPr>
        <w:t>simeticona</w:t>
      </w:r>
      <w:proofErr w:type="spellEnd"/>
      <w:r w:rsidRPr="00731BB1">
        <w:rPr>
          <w:rFonts w:ascii="Arial" w:hAnsi="Arial" w:cs="Arial"/>
          <w:sz w:val="20"/>
          <w:szCs w:val="20"/>
        </w:rPr>
        <w:t xml:space="preserve"> dejando los puntajes mas altos (peor limpieza) para el grupo tratado con ayuno solamente (valores p&lt;0.05). Al considerar el grado de limpieza gástrica como variable cualitativa y no como numérica, encontramos los mismos resultados. Los pacientes </w:t>
      </w:r>
      <w:proofErr w:type="spellStart"/>
      <w:r w:rsidRPr="00731BB1">
        <w:rPr>
          <w:rFonts w:ascii="Arial" w:hAnsi="Arial" w:cs="Arial"/>
          <w:sz w:val="20"/>
          <w:szCs w:val="20"/>
        </w:rPr>
        <w:t>premedicados</w:t>
      </w:r>
      <w:proofErr w:type="spellEnd"/>
      <w:r w:rsidRPr="00731BB1">
        <w:rPr>
          <w:rFonts w:ascii="Arial" w:hAnsi="Arial" w:cs="Arial"/>
          <w:sz w:val="20"/>
          <w:szCs w:val="20"/>
        </w:rPr>
        <w:t xml:space="preserve"> con N-</w:t>
      </w:r>
      <w:proofErr w:type="spellStart"/>
      <w:r w:rsidRPr="00731BB1">
        <w:rPr>
          <w:rFonts w:ascii="Arial" w:hAnsi="Arial" w:cs="Arial"/>
          <w:sz w:val="20"/>
          <w:szCs w:val="20"/>
        </w:rPr>
        <w:t>acetilcisteína</w:t>
      </w:r>
      <w:proofErr w:type="spellEnd"/>
      <w:r w:rsidRPr="00731BB1">
        <w:rPr>
          <w:rFonts w:ascii="Arial" w:hAnsi="Arial" w:cs="Arial"/>
          <w:sz w:val="20"/>
          <w:szCs w:val="20"/>
        </w:rPr>
        <w:t xml:space="preserve"> obtienen una limpieza “óptima” en un 60% </w:t>
      </w:r>
      <w:r w:rsidR="009941F0">
        <w:rPr>
          <w:rFonts w:ascii="Arial" w:hAnsi="Arial" w:cs="Arial"/>
          <w:sz w:val="20"/>
          <w:szCs w:val="20"/>
        </w:rPr>
        <w:t xml:space="preserve">y en los pacientes con </w:t>
      </w:r>
      <w:proofErr w:type="spellStart"/>
      <w:r w:rsidRPr="00731BB1">
        <w:rPr>
          <w:rFonts w:ascii="Arial" w:hAnsi="Arial" w:cs="Arial"/>
          <w:sz w:val="20"/>
          <w:szCs w:val="20"/>
        </w:rPr>
        <w:t>simeticona</w:t>
      </w:r>
      <w:proofErr w:type="spellEnd"/>
      <w:r w:rsidRPr="00731BB1">
        <w:rPr>
          <w:rFonts w:ascii="Arial" w:hAnsi="Arial" w:cs="Arial"/>
          <w:sz w:val="20"/>
          <w:szCs w:val="20"/>
        </w:rPr>
        <w:t xml:space="preserve"> obtiene </w:t>
      </w:r>
      <w:r w:rsidR="009941F0">
        <w:rPr>
          <w:rFonts w:ascii="Arial" w:hAnsi="Arial" w:cs="Arial"/>
          <w:sz w:val="20"/>
          <w:szCs w:val="20"/>
        </w:rPr>
        <w:t xml:space="preserve">en un </w:t>
      </w:r>
      <w:bookmarkStart w:id="0" w:name="_GoBack"/>
      <w:bookmarkEnd w:id="0"/>
      <w:r w:rsidRPr="00731BB1">
        <w:rPr>
          <w:rFonts w:ascii="Arial" w:hAnsi="Arial" w:cs="Arial"/>
          <w:sz w:val="20"/>
          <w:szCs w:val="20"/>
        </w:rPr>
        <w:t>50% de los procedimientos; los sujetos cuya estrategia de limpieza fue solamente el ayuno, alcanzan la limpieza óptima solo en un 28% de los casos (p=0.001).</w:t>
      </w:r>
    </w:p>
    <w:p w:rsidR="000009F1" w:rsidRPr="00731BB1" w:rsidRDefault="000009F1" w:rsidP="009941F0">
      <w:pPr>
        <w:jc w:val="both"/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</w:pP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Conclusi</w:t>
      </w:r>
      <w:r w:rsidR="004112E7"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on</w:t>
      </w: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 xml:space="preserve">es: </w:t>
      </w:r>
    </w:p>
    <w:p w:rsidR="00D612BB" w:rsidRPr="00731BB1" w:rsidRDefault="00731BB1" w:rsidP="009941F0">
      <w:pPr>
        <w:jc w:val="both"/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</w:pPr>
      <w:r w:rsidRPr="00731BB1">
        <w:rPr>
          <w:rFonts w:ascii="Arial" w:eastAsia="Times New Roman" w:hAnsi="Arial" w:cs="Arial"/>
          <w:color w:val="1C1F21"/>
          <w:spacing w:val="-8"/>
          <w:sz w:val="20"/>
          <w:szCs w:val="20"/>
          <w:shd w:val="clear" w:color="auto" w:fill="FFFFFF"/>
          <w:lang w:val="es-MX" w:eastAsia="es-MX"/>
        </w:rPr>
        <w:t>En este estudio realizado en sujetos a quienes se les realizó endoscopia digestiva alta de manera programada bajo indicacion electiva en el Hospital Juárez de México, la premedicación con 600mg de N-acetilcisteína en 20ml de agua administrada 30 minutos antes del procedimiento demostró ser más eficaz que la premedicación con 100mg de Simeticona y que el ayuno para alcanzar la limpieza gástrica adecuada y optima evaluada mediante la escala de Chang. La presencia de diabetes e hipertensión arterial sistémica también estuvieron asociados con una pobre limpieza gástrica.</w:t>
      </w:r>
    </w:p>
    <w:sectPr w:rsidR="00D612BB" w:rsidRPr="00731BB1" w:rsidSect="00D612BB">
      <w:pgSz w:w="12240" w:h="15840"/>
      <w:pgMar w:top="208" w:right="1440" w:bottom="5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B8"/>
    <w:rsid w:val="000009F1"/>
    <w:rsid w:val="00053F2F"/>
    <w:rsid w:val="00065ACD"/>
    <w:rsid w:val="00120D59"/>
    <w:rsid w:val="003A12AD"/>
    <w:rsid w:val="004112E7"/>
    <w:rsid w:val="0049375D"/>
    <w:rsid w:val="004A5DF7"/>
    <w:rsid w:val="00533AB8"/>
    <w:rsid w:val="00731BB1"/>
    <w:rsid w:val="00875F0A"/>
    <w:rsid w:val="0088449D"/>
    <w:rsid w:val="00891194"/>
    <w:rsid w:val="009941F0"/>
    <w:rsid w:val="00C31242"/>
    <w:rsid w:val="00C54E7B"/>
    <w:rsid w:val="00CD0F1B"/>
    <w:rsid w:val="00D612BB"/>
    <w:rsid w:val="00DF6CF5"/>
    <w:rsid w:val="00EE0B06"/>
    <w:rsid w:val="00EF1F02"/>
    <w:rsid w:val="00F6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8B333"/>
  <w15:chartTrackingRefBased/>
  <w15:docId w15:val="{95ECC311-E47D-404F-9AD9-F03CB54D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2BB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D612BB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D612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12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612BB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1BB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BB1"/>
    <w:rPr>
      <w:rFonts w:ascii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rpereaendoscopia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0AF30D-10B3-BB4C-BC7F-BF3C1B32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2022-06-11T16:49:00Z</dcterms:created>
  <dcterms:modified xsi:type="dcterms:W3CDTF">2022-06-27T18:31:00Z</dcterms:modified>
</cp:coreProperties>
</file>