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B994B0">
      <w:pPr>
        <w:spacing w:before="240" w:after="120"/>
        <w:jc w:val="center"/>
        <w:rPr>
          <w:rFonts w:ascii="Arial" w:hAnsi="Arial" w:eastAsia="Arial" w:cs="Arial"/>
          <w:b/>
          <w:bCs/>
          <w:color w:val="003366"/>
          <w:sz w:val="38"/>
          <w:szCs w:val="38"/>
        </w:rPr>
      </w:pPr>
    </w:p>
    <w:p w14:paraId="4FEDE10F">
      <w:pPr>
        <w:spacing w:before="240" w:after="120"/>
        <w:jc w:val="center"/>
      </w:pPr>
      <w:r>
        <w:rPr>
          <w:rFonts w:ascii="Arial" w:hAnsi="Arial" w:eastAsia="Arial" w:cs="Arial"/>
          <w:b/>
          <w:bCs/>
          <w:color w:val="003366"/>
          <w:sz w:val="38"/>
          <w:szCs w:val="38"/>
        </w:rPr>
        <w:t>INFORME TÉCNICO Y GUÍA DE EXPOSICIÓN</w:t>
      </w:r>
    </w:p>
    <w:p w14:paraId="73DFD490">
      <w:pPr>
        <w:spacing w:before="60" w:after="300"/>
        <w:jc w:val="center"/>
      </w:pPr>
      <w:r>
        <w:rPr>
          <w:rFonts w:ascii="Arial" w:hAnsi="Arial" w:eastAsia="Arial" w:cs="Arial"/>
          <w:i/>
          <w:iCs/>
          <w:color w:val="64748B"/>
          <w:sz w:val="24"/>
          <w:szCs w:val="24"/>
        </w:rPr>
        <w:t>Desarrollo de Progressive Web App (PWA) con Soporte Offline y Persistencia en IndexedDB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1"/>
        <w:gridCol w:w="6595"/>
      </w:tblGrid>
      <w:tr w14:paraId="441BE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top w:val="single" w:color="003366" w:sz="12" w:space="0"/>
              <w:left w:val="single" w:color="CBD5E1" w:sz="8" w:space="0"/>
              <w:bottom w:val="single" w:color="003366" w:sz="16" w:space="0"/>
              <w:right w:val="single" w:color="CBD5E1" w:sz="8" w:space="0"/>
            </w:tcBorders>
            <w:shd w:val="clear" w:color="auto" w:fill="00336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CEA8987">
            <w:r>
              <w:rPr>
                <w:rFonts w:ascii="Arial" w:hAnsi="Arial" w:eastAsia="Arial" w:cs="Arial"/>
                <w:b/>
                <w:bCs/>
                <w:color w:val="FFFFFF"/>
              </w:rPr>
              <w:t>Dato</w:t>
            </w:r>
          </w:p>
        </w:tc>
        <w:tc>
          <w:tcPr>
            <w:tcW w:w="0" w:type="auto"/>
            <w:tcBorders>
              <w:top w:val="single" w:color="003366" w:sz="12" w:space="0"/>
              <w:left w:val="single" w:color="CBD5E1" w:sz="8" w:space="0"/>
              <w:bottom w:val="single" w:color="003366" w:sz="16" w:space="0"/>
              <w:right w:val="single" w:color="CBD5E1" w:sz="8" w:space="0"/>
            </w:tcBorders>
            <w:shd w:val="clear" w:color="auto" w:fill="00336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CAAEB90">
            <w:r>
              <w:rPr>
                <w:rFonts w:ascii="Arial" w:hAnsi="Arial" w:eastAsia="Arial" w:cs="Arial"/>
                <w:b/>
                <w:bCs/>
                <w:color w:val="FFFFFF"/>
              </w:rPr>
              <w:t>Detalle Institucional y de Proyecto</w:t>
            </w:r>
          </w:p>
        </w:tc>
      </w:tr>
      <w:tr w14:paraId="10936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5FF775">
            <w:r>
              <w:rPr>
                <w:rFonts w:ascii="Segoe UI" w:hAnsi="Segoe UI" w:eastAsia="Segoe UI" w:cs="Segoe UI"/>
                <w:b/>
                <w:bCs/>
                <w:color w:val="003366"/>
                <w:sz w:val="19"/>
                <w:szCs w:val="19"/>
              </w:rPr>
              <w:t>Institución: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A546A0">
            <w:r>
              <w:rPr>
                <w:rFonts w:ascii="Segoe UI" w:hAnsi="Segoe UI" w:eastAsia="Segoe UI" w:cs="Segoe UI"/>
                <w:color w:val="1E293B"/>
                <w:sz w:val="19"/>
                <w:szCs w:val="19"/>
              </w:rPr>
              <w:t>SENATI – Escuela de Tecnologías de la Información</w:t>
            </w:r>
          </w:p>
        </w:tc>
      </w:tr>
      <w:tr w14:paraId="6CB7D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5E3878">
            <w:r>
              <w:rPr>
                <w:rFonts w:ascii="Segoe UI" w:hAnsi="Segoe UI" w:eastAsia="Segoe UI" w:cs="Segoe UI"/>
                <w:b/>
                <w:bCs/>
                <w:color w:val="003366"/>
                <w:sz w:val="19"/>
                <w:szCs w:val="19"/>
              </w:rPr>
              <w:t>Curso / Carrera: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A901D4">
            <w:r>
              <w:rPr>
                <w:rFonts w:ascii="Segoe UI" w:hAnsi="Segoe UI" w:eastAsia="Segoe UI" w:cs="Segoe UI"/>
                <w:color w:val="1E293B"/>
                <w:sz w:val="19"/>
                <w:szCs w:val="19"/>
              </w:rPr>
              <w:t>Desarrollo de Software / Taller de Aplicaciones Web Progresivas (PWA)</w:t>
            </w:r>
          </w:p>
        </w:tc>
      </w:tr>
      <w:tr w14:paraId="0CAD3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F07B29">
            <w:r>
              <w:rPr>
                <w:rFonts w:ascii="Segoe UI" w:hAnsi="Segoe UI" w:eastAsia="Segoe UI" w:cs="Segoe UI"/>
                <w:b/>
                <w:bCs/>
                <w:color w:val="003366"/>
                <w:sz w:val="19"/>
                <w:szCs w:val="19"/>
              </w:rPr>
              <w:t>Tema Evaluado: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B1BD05">
            <w:r>
              <w:rPr>
                <w:rFonts w:ascii="Segoe UI" w:hAnsi="Segoe UI" w:eastAsia="Segoe UI" w:cs="Segoe UI"/>
                <w:color w:val="1E293B"/>
                <w:sz w:val="19"/>
                <w:szCs w:val="19"/>
              </w:rPr>
              <w:t>App Manifest, Service Workers, Cache Storage API e IndexedDB</w:t>
            </w:r>
          </w:p>
        </w:tc>
      </w:tr>
      <w:tr w14:paraId="36F56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FA232D">
            <w:r>
              <w:rPr>
                <w:rFonts w:ascii="Segoe UI" w:hAnsi="Segoe UI" w:eastAsia="Segoe UI" w:cs="Segoe UI"/>
                <w:b/>
                <w:bCs/>
                <w:color w:val="003366"/>
                <w:sz w:val="19"/>
                <w:szCs w:val="19"/>
              </w:rPr>
              <w:t>Instructor: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2469A3">
            <w:r>
              <w:rPr>
                <w:rFonts w:ascii="Segoe UI" w:hAnsi="Segoe UI" w:eastAsia="Segoe UI" w:cs="Segoe UI"/>
                <w:color w:val="1E293B"/>
                <w:sz w:val="19"/>
                <w:szCs w:val="19"/>
              </w:rPr>
              <w:t>Jorge Luque Chambi</w:t>
            </w:r>
          </w:p>
        </w:tc>
      </w:tr>
      <w:tr w14:paraId="3E9E3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B52CF6">
            <w:r>
              <w:rPr>
                <w:rFonts w:ascii="Segoe UI" w:hAnsi="Segoe UI" w:eastAsia="Segoe UI" w:cs="Segoe UI"/>
                <w:b/>
                <w:bCs/>
                <w:color w:val="003366"/>
                <w:sz w:val="19"/>
                <w:szCs w:val="19"/>
              </w:rPr>
              <w:t>Proyecto: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ADF1D">
            <w:r>
              <w:rPr>
                <w:rFonts w:ascii="Segoe UI" w:hAnsi="Segoe UI" w:eastAsia="Segoe UI" w:cs="Segoe UI"/>
                <w:color w:val="1E293B"/>
                <w:sz w:val="19"/>
                <w:szCs w:val="19"/>
              </w:rPr>
              <w:t>Proyecto 1 · Backus Ventas PWA (Versión Mejorada)</w:t>
            </w:r>
          </w:p>
        </w:tc>
      </w:tr>
      <w:tr w14:paraId="2C443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C5A649">
            <w:r>
              <w:rPr>
                <w:rFonts w:ascii="Segoe UI" w:hAnsi="Segoe UI" w:eastAsia="Segoe UI" w:cs="Segoe UI"/>
                <w:b/>
                <w:bCs/>
                <w:color w:val="003366"/>
                <w:sz w:val="19"/>
                <w:szCs w:val="19"/>
              </w:rPr>
              <w:t>Empresa Caso de Estudio: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892459">
            <w:r>
              <w:rPr>
                <w:rFonts w:ascii="Segoe UI" w:hAnsi="Segoe UI" w:eastAsia="Segoe UI" w:cs="Segoe UI"/>
                <w:color w:val="1E293B"/>
                <w:sz w:val="19"/>
                <w:szCs w:val="19"/>
              </w:rPr>
              <w:t>Unión de Cervecerías Peruanas Backus y Johnston S.A.A.</w:t>
            </w:r>
          </w:p>
        </w:tc>
      </w:tr>
      <w:tr w14:paraId="4B14D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AC79D">
            <w:r>
              <w:rPr>
                <w:rFonts w:ascii="Segoe UI" w:hAnsi="Segoe UI" w:eastAsia="Segoe UI" w:cs="Segoe UI"/>
                <w:b/>
                <w:bCs/>
                <w:color w:val="003366"/>
                <w:sz w:val="19"/>
                <w:szCs w:val="19"/>
              </w:rPr>
              <w:t>Entregables: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68B5D8">
            <w:r>
              <w:rPr>
                <w:rFonts w:ascii="Segoe UI" w:hAnsi="Segoe UI" w:eastAsia="Segoe UI" w:cs="Segoe UI"/>
                <w:color w:val="1E293B"/>
                <w:sz w:val="19"/>
                <w:szCs w:val="19"/>
              </w:rPr>
              <w:t>Código Fuente Angular, Guía Figma, Evidencias y Documentación</w:t>
            </w:r>
          </w:p>
        </w:tc>
      </w:tr>
    </w:tbl>
    <w:p w14:paraId="789CE334">
      <w:pPr>
        <w:spacing w:after="200"/>
      </w:pPr>
    </w:p>
    <w:p w14:paraId="35C541F2">
      <w:pPr>
        <w:pStyle w:val="2"/>
        <w:spacing w:before="360" w:after="140"/>
      </w:pPr>
      <w:r>
        <w:rPr>
          <w:rFonts w:ascii="Arial" w:hAnsi="Arial" w:eastAsia="Arial" w:cs="Arial"/>
          <w:b/>
          <w:bCs/>
          <w:color w:val="003366"/>
          <w:sz w:val="28"/>
          <w:szCs w:val="28"/>
        </w:rPr>
        <w:t>1. Introducción y Justificación Empresarial</w:t>
      </w:r>
    </w:p>
    <w:p w14:paraId="6B7FA4B9">
      <w:pPr>
        <w:spacing w:before="60" w:after="100"/>
      </w:pPr>
      <w:r>
        <w:rPr>
          <w:rFonts w:ascii="Segoe UI" w:hAnsi="Segoe UI" w:eastAsia="Segoe UI" w:cs="Segoe UI"/>
          <w:color w:val="1E293B"/>
          <w:sz w:val="21"/>
          <w:szCs w:val="21"/>
        </w:rPr>
        <w:t>La fuerza de ventas y distribución comercial de Unión de Cervecerías Peruanas Backus y Johnston S.A.A. visita a diario miles de bodegas, minimarkets y restaurantes a nivel nacional. Muchas de estas zonas comerciales carecen de señal celular estable (sótanos de centros comerciales, mercados de abastos tradicionales o zonas rurales).</w:t>
      </w:r>
    </w:p>
    <w:p w14:paraId="1ADF35CF">
      <w:pPr>
        <w:spacing w:before="60" w:after="100"/>
      </w:pPr>
      <w:r>
        <w:rPr>
          <w:rFonts w:ascii="Segoe UI" w:hAnsi="Segoe UI" w:eastAsia="Segoe UI" w:cs="Segoe UI"/>
          <w:color w:val="1E293B"/>
          <w:sz w:val="21"/>
          <w:szCs w:val="21"/>
        </w:rPr>
        <w:t>Una aplicación web convencional colapsa ante la falta de red, impidiendo al vendedor consultar los precios oficiales de cervezas emblemáticas (Cusqueña, Pilsen, Cristal) y levantar pedidos de reposición. Esto ocasiona demoras logísticas y pérdida de ventas.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86"/>
      </w:tblGrid>
      <w:tr w14:paraId="7BA81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0B5394" w:sz="24" w:space="0"/>
            </w:tcBorders>
            <w:shd w:val="clear" w:color="auto" w:fill="EFF6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0200F8F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0B5394"/>
                <w:sz w:val="22"/>
                <w:szCs w:val="22"/>
              </w:rPr>
              <w:t>Solución Implementada: Arquitectura PWA Offline-First</w:t>
            </w:r>
          </w:p>
          <w:p w14:paraId="69018DC1">
            <w:r>
              <w:rPr>
                <w:rFonts w:ascii="Segoe UI" w:hAnsi="Segoe UI" w:eastAsia="Segoe UI" w:cs="Segoe UI"/>
                <w:color w:val="1E293B"/>
              </w:rPr>
              <w:t>Se transformó el catálogo en una Aplicación Web Progresiva (PWA) instalable, con caché predictivo mediante Service Worker y almacenamiento local en IndexedDB. El vendedor puede operar al 100% sin conexión a Internet y registrar los pedidos de forma confiable.</w:t>
            </w:r>
          </w:p>
        </w:tc>
      </w:tr>
    </w:tbl>
    <w:p w14:paraId="3B9E8E8C">
      <w:pPr>
        <w:pStyle w:val="2"/>
        <w:spacing w:before="360" w:after="140"/>
        <w:rPr>
          <w:rFonts w:ascii="Arial" w:hAnsi="Arial" w:eastAsia="Arial" w:cs="Arial"/>
          <w:b/>
          <w:bCs/>
          <w:color w:val="003366"/>
          <w:sz w:val="28"/>
          <w:szCs w:val="28"/>
        </w:rPr>
      </w:pPr>
    </w:p>
    <w:p w14:paraId="49156B0A">
      <w:pPr>
        <w:pStyle w:val="2"/>
        <w:spacing w:before="360" w:after="140"/>
        <w:rPr>
          <w:rFonts w:ascii="Arial" w:hAnsi="Arial" w:eastAsia="Arial" w:cs="Arial"/>
          <w:b/>
          <w:bCs/>
          <w:color w:val="003366"/>
          <w:sz w:val="28"/>
          <w:szCs w:val="28"/>
        </w:rPr>
      </w:pPr>
    </w:p>
    <w:p w14:paraId="185B201F">
      <w:pPr>
        <w:pStyle w:val="2"/>
        <w:spacing w:before="360" w:after="140"/>
        <w:rPr>
          <w:rFonts w:ascii="Arial" w:hAnsi="Arial" w:eastAsia="Arial" w:cs="Arial"/>
          <w:b/>
          <w:bCs/>
          <w:color w:val="003366"/>
          <w:sz w:val="28"/>
          <w:szCs w:val="28"/>
        </w:rPr>
      </w:pPr>
    </w:p>
    <w:p w14:paraId="492F3B91">
      <w:pPr>
        <w:pStyle w:val="2"/>
        <w:spacing w:before="360" w:after="140"/>
        <w:rPr>
          <w:rFonts w:ascii="Arial" w:hAnsi="Arial" w:eastAsia="Arial" w:cs="Arial"/>
          <w:b/>
          <w:bCs/>
          <w:color w:val="003366"/>
          <w:sz w:val="28"/>
          <w:szCs w:val="28"/>
        </w:rPr>
      </w:pPr>
    </w:p>
    <w:p w14:paraId="7A7ECD92">
      <w:pPr>
        <w:pStyle w:val="2"/>
        <w:spacing w:before="360" w:after="140"/>
      </w:pPr>
      <w:r>
        <w:rPr>
          <w:rFonts w:ascii="Arial" w:hAnsi="Arial" w:eastAsia="Arial" w:cs="Arial"/>
          <w:b/>
          <w:bCs/>
          <w:color w:val="003366"/>
          <w:sz w:val="28"/>
          <w:szCs w:val="28"/>
        </w:rPr>
        <w:t>2. Arquitectura de Software: Los 4 Pilares PWA</w:t>
      </w:r>
    </w:p>
    <w:p w14:paraId="6DA14EDA">
      <w:pPr>
        <w:spacing w:before="60" w:after="100"/>
      </w:pPr>
      <w:r>
        <w:rPr>
          <w:rFonts w:ascii="Segoe UI" w:hAnsi="Segoe UI" w:eastAsia="Segoe UI" w:cs="Segoe UI"/>
          <w:color w:val="1E293B"/>
          <w:sz w:val="21"/>
          <w:szCs w:val="21"/>
        </w:rPr>
        <w:t>Para responder con solvencia durante la sustentación ante el docente, la solución se sustenta en 4 mecanismos que trabajan en conjunto pero cumplen responsabilidades independientes: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9"/>
        <w:gridCol w:w="2305"/>
        <w:gridCol w:w="3052"/>
        <w:gridCol w:w="2480"/>
      </w:tblGrid>
      <w:tr w14:paraId="7B5B7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top w:val="single" w:color="003366" w:sz="12" w:space="0"/>
              <w:left w:val="single" w:color="CBD5E1" w:sz="8" w:space="0"/>
              <w:bottom w:val="single" w:color="003366" w:sz="16" w:space="0"/>
              <w:right w:val="single" w:color="CBD5E1" w:sz="8" w:space="0"/>
            </w:tcBorders>
            <w:shd w:val="clear" w:color="auto" w:fill="00336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05AE1ED">
            <w:r>
              <w:rPr>
                <w:rFonts w:ascii="Arial" w:hAnsi="Arial" w:eastAsia="Arial" w:cs="Arial"/>
                <w:b/>
                <w:bCs/>
                <w:color w:val="FFFFFF"/>
              </w:rPr>
              <w:t>Mecanismo</w:t>
            </w:r>
          </w:p>
        </w:tc>
        <w:tc>
          <w:tcPr>
            <w:tcW w:w="0" w:type="auto"/>
            <w:tcBorders>
              <w:top w:val="single" w:color="003366" w:sz="12" w:space="0"/>
              <w:left w:val="single" w:color="CBD5E1" w:sz="8" w:space="0"/>
              <w:bottom w:val="single" w:color="003366" w:sz="16" w:space="0"/>
              <w:right w:val="single" w:color="CBD5E1" w:sz="8" w:space="0"/>
            </w:tcBorders>
            <w:shd w:val="clear" w:color="auto" w:fill="00336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99A2E1F">
            <w:r>
              <w:rPr>
                <w:rFonts w:ascii="Arial" w:hAnsi="Arial" w:eastAsia="Arial" w:cs="Arial"/>
                <w:b/>
                <w:bCs/>
                <w:color w:val="FFFFFF"/>
              </w:rPr>
              <w:t>Archivo / Implementación</w:t>
            </w:r>
          </w:p>
        </w:tc>
        <w:tc>
          <w:tcPr>
            <w:tcW w:w="0" w:type="auto"/>
            <w:tcBorders>
              <w:top w:val="single" w:color="003366" w:sz="12" w:space="0"/>
              <w:left w:val="single" w:color="CBD5E1" w:sz="8" w:space="0"/>
              <w:bottom w:val="single" w:color="003366" w:sz="16" w:space="0"/>
              <w:right w:val="single" w:color="CBD5E1" w:sz="8" w:space="0"/>
            </w:tcBorders>
            <w:shd w:val="clear" w:color="auto" w:fill="00336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AE819C0">
            <w:r>
              <w:rPr>
                <w:rFonts w:ascii="Arial" w:hAnsi="Arial" w:eastAsia="Arial" w:cs="Arial"/>
                <w:b/>
                <w:bCs/>
                <w:color w:val="FFFFFF"/>
              </w:rPr>
              <w:t>Función en el Proyecto</w:t>
            </w:r>
          </w:p>
        </w:tc>
        <w:tc>
          <w:tcPr>
            <w:tcW w:w="0" w:type="auto"/>
            <w:tcBorders>
              <w:top w:val="single" w:color="003366" w:sz="12" w:space="0"/>
              <w:left w:val="single" w:color="CBD5E1" w:sz="8" w:space="0"/>
              <w:bottom w:val="single" w:color="003366" w:sz="16" w:space="0"/>
              <w:right w:val="single" w:color="CBD5E1" w:sz="8" w:space="0"/>
            </w:tcBorders>
            <w:shd w:val="clear" w:color="auto" w:fill="00336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530C752">
            <w:r>
              <w:rPr>
                <w:rFonts w:ascii="Arial" w:hAnsi="Arial" w:eastAsia="Arial" w:cs="Arial"/>
                <w:b/>
                <w:bCs/>
                <w:color w:val="FFFFFF"/>
              </w:rPr>
              <w:t>Lo que NO hace (Criterio Docente)</w:t>
            </w:r>
          </w:p>
        </w:tc>
      </w:tr>
      <w:tr w14:paraId="4A98B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D23B18">
            <w:r>
              <w:rPr>
                <w:rFonts w:ascii="Segoe UI" w:hAnsi="Segoe UI" w:eastAsia="Segoe UI" w:cs="Segoe UI"/>
                <w:b/>
                <w:bCs/>
                <w:color w:val="003366"/>
                <w:sz w:val="19"/>
                <w:szCs w:val="19"/>
              </w:rPr>
              <w:t>1. App Manifest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320D50">
            <w:r>
              <w:rPr>
                <w:rFonts w:ascii="Segoe UI" w:hAnsi="Segoe UI" w:eastAsia="Segoe UI" w:cs="Segoe UI"/>
                <w:color w:val="1E293B"/>
                <w:sz w:val="19"/>
                <w:szCs w:val="19"/>
              </w:rPr>
              <w:t>manifest.webmanifest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5B12C">
            <w:r>
              <w:rPr>
                <w:rFonts w:ascii="Segoe UI" w:hAnsi="Segoe UI" w:eastAsia="Segoe UI" w:cs="Segoe UI"/>
                <w:color w:val="1E293B"/>
                <w:sz w:val="19"/>
                <w:szCs w:val="19"/>
              </w:rPr>
              <w:t>Define nombre, iconos (72x72 a 512px), color corporativo (#061838) y modo standalone.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DAA92B">
            <w:r>
              <w:rPr>
                <w:rFonts w:ascii="Segoe UI" w:hAnsi="Segoe UI" w:eastAsia="Segoe UI" w:cs="Segoe UI"/>
                <w:color w:val="1E293B"/>
                <w:sz w:val="19"/>
                <w:szCs w:val="19"/>
              </w:rPr>
              <w:t>No guarda pedidos ni información comercial.</w:t>
            </w:r>
          </w:p>
        </w:tc>
      </w:tr>
      <w:tr w14:paraId="606D2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659D23">
            <w:r>
              <w:rPr>
                <w:rFonts w:ascii="Segoe UI" w:hAnsi="Segoe UI" w:eastAsia="Segoe UI" w:cs="Segoe UI"/>
                <w:b/>
                <w:bCs/>
                <w:color w:val="003366"/>
                <w:sz w:val="19"/>
                <w:szCs w:val="19"/>
              </w:rPr>
              <w:t>2. Service Worker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A431F">
            <w:r>
              <w:rPr>
                <w:rFonts w:ascii="Segoe UI" w:hAnsi="Segoe UI" w:eastAsia="Segoe UI" w:cs="Segoe UI"/>
                <w:color w:val="1E293B"/>
                <w:sz w:val="19"/>
                <w:szCs w:val="19"/>
              </w:rPr>
              <w:t>@angular/service-worker (ngsw)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FDDC51">
            <w:r>
              <w:rPr>
                <w:rFonts w:ascii="Segoe UI" w:hAnsi="Segoe UI" w:eastAsia="Segoe UI" w:cs="Segoe UI"/>
                <w:color w:val="1E293B"/>
                <w:sz w:val="19"/>
                <w:szCs w:val="19"/>
              </w:rPr>
              <w:t>Intercepta peticiones de red y entrega recursos estáticos pre-cacheados (Cache-First).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FA0A62">
            <w:r>
              <w:rPr>
                <w:rFonts w:ascii="Segoe UI" w:hAnsi="Segoe UI" w:eastAsia="Segoe UI" w:cs="Segoe UI"/>
                <w:color w:val="1E293B"/>
                <w:sz w:val="19"/>
                <w:szCs w:val="19"/>
              </w:rPr>
              <w:t>No encola automáticamente peticiones POST a servidores.</w:t>
            </w:r>
          </w:p>
        </w:tc>
      </w:tr>
      <w:tr w14:paraId="45501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959ACF">
            <w:r>
              <w:rPr>
                <w:rFonts w:ascii="Segoe UI" w:hAnsi="Segoe UI" w:eastAsia="Segoe UI" w:cs="Segoe UI"/>
                <w:b/>
                <w:bCs/>
                <w:color w:val="003366"/>
                <w:sz w:val="19"/>
                <w:szCs w:val="19"/>
              </w:rPr>
              <w:t>3. Cache Storage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60CD72">
            <w:r>
              <w:rPr>
                <w:rFonts w:ascii="Segoe UI" w:hAnsi="Segoe UI" w:eastAsia="Segoe UI" w:cs="Segoe UI"/>
                <w:color w:val="1E293B"/>
                <w:sz w:val="19"/>
                <w:szCs w:val="19"/>
              </w:rPr>
              <w:t>ngsw-config.json (dataGroups)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B64484">
            <w:r>
              <w:rPr>
                <w:rFonts w:ascii="Segoe UI" w:hAnsi="Segoe UI" w:eastAsia="Segoe UI" w:cs="Segoe UI"/>
                <w:color w:val="1E293B"/>
                <w:sz w:val="19"/>
                <w:szCs w:val="19"/>
              </w:rPr>
              <w:t>Almacena en caché el archivo catalogo.json con estrategia performance.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6F34FA">
            <w:r>
              <w:rPr>
                <w:rFonts w:ascii="Segoe UI" w:hAnsi="Segoe UI" w:eastAsia="Segoe UI" w:cs="Segoe UI"/>
                <w:color w:val="1E293B"/>
                <w:sz w:val="19"/>
                <w:szCs w:val="19"/>
              </w:rPr>
              <w:t>No guarda datos transaccionales de compras.</w:t>
            </w:r>
          </w:p>
        </w:tc>
      </w:tr>
      <w:tr w14:paraId="65F98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919C27">
            <w:r>
              <w:rPr>
                <w:rFonts w:ascii="Segoe UI" w:hAnsi="Segoe UI" w:eastAsia="Segoe UI" w:cs="Segoe UI"/>
                <w:b/>
                <w:bCs/>
                <w:color w:val="003366"/>
                <w:sz w:val="19"/>
                <w:szCs w:val="19"/>
              </w:rPr>
              <w:t>4. IndexedDB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205337">
            <w:r>
              <w:rPr>
                <w:rFonts w:ascii="Segoe UI" w:hAnsi="Segoe UI" w:eastAsia="Segoe UI" w:cs="Segoe UI"/>
                <w:color w:val="1E293B"/>
                <w:sz w:val="19"/>
                <w:szCs w:val="19"/>
              </w:rPr>
              <w:t>StorageService (backusVentasDB)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55706">
            <w:r>
              <w:rPr>
                <w:rFonts w:ascii="Segoe UI" w:hAnsi="Segoe UI" w:eastAsia="Segoe UI" w:cs="Segoe UI"/>
                <w:color w:val="1E293B"/>
                <w:sz w:val="19"/>
                <w:szCs w:val="19"/>
              </w:rPr>
              <w:t>Base de datos NoSQL transaccional que almacena pedidos estructurados completos con estado PENDIENTE.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84630">
            <w:r>
              <w:rPr>
                <w:rFonts w:ascii="Segoe UI" w:hAnsi="Segoe UI" w:eastAsia="Segoe UI" w:cs="Segoe UI"/>
                <w:color w:val="1E293B"/>
                <w:sz w:val="19"/>
                <w:szCs w:val="19"/>
              </w:rPr>
              <w:t>No transmite datos a la nube por sí sola sin una API remota.</w:t>
            </w:r>
          </w:p>
        </w:tc>
      </w:tr>
    </w:tbl>
    <w:p w14:paraId="305AB732">
      <w:pPr>
        <w:spacing w:after="140"/>
      </w:pPr>
    </w:p>
    <w:p w14:paraId="2332D255">
      <w:pPr>
        <w:pStyle w:val="2"/>
        <w:spacing w:before="360" w:after="140"/>
      </w:pPr>
      <w:r>
        <w:rPr>
          <w:rFonts w:ascii="Arial" w:hAnsi="Arial" w:eastAsia="Arial" w:cs="Arial"/>
          <w:b/>
          <w:bCs/>
          <w:color w:val="003366"/>
          <w:sz w:val="28"/>
          <w:szCs w:val="28"/>
        </w:rPr>
        <w:t>3. Modelo de Datos y Validación Técnica (PDF Pág. 4)</w:t>
      </w:r>
    </w:p>
    <w:p w14:paraId="6FBBC032">
      <w:pPr>
        <w:spacing w:before="60" w:after="100"/>
      </w:pPr>
      <w:r>
        <w:rPr>
          <w:rFonts w:ascii="Segoe UI" w:hAnsi="Segoe UI" w:eastAsia="Segoe UI" w:cs="Segoe UI"/>
          <w:color w:val="1E293B"/>
          <w:sz w:val="21"/>
          <w:szCs w:val="21"/>
        </w:rPr>
        <w:t>Se implementaron rigurosamente las interfaces TypeScript requeridas por el instructor en la Sección C del PDF oficial:</w:t>
      </w:r>
    </w:p>
    <w:p w14:paraId="10C93CA5">
      <w:pPr>
        <w:pStyle w:val="17"/>
        <w:numPr>
          <w:ilvl w:val="0"/>
          <w:numId w:val="1"/>
        </w:numPr>
        <w:spacing w:before="40" w:after="60"/>
      </w:pPr>
      <w:r>
        <w:rPr>
          <w:rFonts w:ascii="Segoe UI" w:hAnsi="Segoe UI" w:eastAsia="Segoe UI" w:cs="Segoe UI"/>
          <w:b/>
          <w:bCs/>
          <w:color w:val="003366"/>
          <w:sz w:val="21"/>
          <w:szCs w:val="21"/>
        </w:rPr>
        <w:t xml:space="preserve">LineaPedido: </w:t>
      </w:r>
      <w:r>
        <w:rPr>
          <w:rFonts w:ascii="Segoe UI" w:hAnsi="Segoe UI" w:eastAsia="Segoe UI" w:cs="Segoe UI"/>
          <w:color w:val="1E293B"/>
          <w:sz w:val="21"/>
          <w:szCs w:val="21"/>
        </w:rPr>
        <w:t>Almacena productoId, producto, precioUnitario, cantidad y subtotal con 2 decimales.</w:t>
      </w:r>
    </w:p>
    <w:p w14:paraId="132850CC">
      <w:pPr>
        <w:pStyle w:val="17"/>
        <w:numPr>
          <w:ilvl w:val="0"/>
          <w:numId w:val="1"/>
        </w:numPr>
        <w:spacing w:before="40" w:after="60"/>
      </w:pPr>
      <w:r>
        <w:rPr>
          <w:rFonts w:ascii="Segoe UI" w:hAnsi="Segoe UI" w:eastAsia="Segoe UI" w:cs="Segoe UI"/>
          <w:b/>
          <w:bCs/>
          <w:color w:val="003366"/>
          <w:sz w:val="21"/>
          <w:szCs w:val="21"/>
        </w:rPr>
        <w:t xml:space="preserve">EstadoPedido: </w:t>
      </w:r>
      <w:r>
        <w:rPr>
          <w:rFonts w:ascii="Segoe UI" w:hAnsi="Segoe UI" w:eastAsia="Segoe UI" w:cs="Segoe UI"/>
          <w:color w:val="1E293B"/>
          <w:sz w:val="21"/>
          <w:szCs w:val="21"/>
        </w:rPr>
        <w:t>Tipo estricto ('PENDIENTE' | 'SINCRONIZADO' | 'ERROR'). Todo pedido inicia como PENDIENTE.</w:t>
      </w:r>
    </w:p>
    <w:p w14:paraId="0CB06732">
      <w:pPr>
        <w:pStyle w:val="17"/>
        <w:numPr>
          <w:ilvl w:val="0"/>
          <w:numId w:val="1"/>
        </w:numPr>
        <w:spacing w:before="40" w:after="60"/>
      </w:pPr>
      <w:r>
        <w:rPr>
          <w:rFonts w:ascii="Segoe UI" w:hAnsi="Segoe UI" w:eastAsia="Segoe UI" w:cs="Segoe UI"/>
          <w:b/>
          <w:bCs/>
          <w:color w:val="003366"/>
          <w:sz w:val="21"/>
          <w:szCs w:val="21"/>
        </w:rPr>
        <w:t xml:space="preserve">Pedido: </w:t>
      </w:r>
      <w:r>
        <w:rPr>
          <w:rFonts w:ascii="Segoe UI" w:hAnsi="Segoe UI" w:eastAsia="Segoe UI" w:cs="Segoe UI"/>
          <w:color w:val="1E293B"/>
          <w:sz w:val="21"/>
          <w:szCs w:val="21"/>
        </w:rPr>
        <w:t>Estructura completa que agrupa id, fecha ISO, arreglo de lineas, total, cliente, estado y origen ('ONLINE' | 'OFFLINE').</w:t>
      </w:r>
    </w:p>
    <w:p w14:paraId="641A8CD6">
      <w:pPr>
        <w:pStyle w:val="17"/>
        <w:numPr>
          <w:numId w:val="0"/>
        </w:numPr>
        <w:spacing w:before="40" w:after="60"/>
        <w:ind w:left="360" w:leftChars="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86"/>
      </w:tblGrid>
      <w:tr w14:paraId="722BB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0B5394" w:sz="24" w:space="0"/>
            </w:tcBorders>
            <w:shd w:val="clear" w:color="auto" w:fill="EFF6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673AEC5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0B5394"/>
                <w:sz w:val="22"/>
                <w:szCs w:val="22"/>
              </w:rPr>
              <w:t>Criterio Técnico Transversal de Honestidad de Sincronización</w:t>
            </w:r>
          </w:p>
          <w:p w14:paraId="7F04B1F3">
            <w:r>
              <w:rPr>
                <w:rFonts w:ascii="Segoe UI" w:hAnsi="Segoe UI" w:eastAsia="Segoe UI" w:cs="Segoe UI"/>
                <w:color w:val="1E293B"/>
              </w:rPr>
              <w:t>El sistema nunca afirma falsamente que el pedido fue enviado a un servidor remoto, dado que no existe un backend corporativo real en esta fase. Todo pedido inicia explícitamente en estado PENDIENTE, cumpliendo con la exigencia académica del docente.</w:t>
            </w:r>
          </w:p>
        </w:tc>
      </w:tr>
    </w:tbl>
    <w:p w14:paraId="635D190D">
      <w:pPr>
        <w:pStyle w:val="2"/>
        <w:spacing w:before="360" w:after="140"/>
        <w:rPr>
          <w:rFonts w:ascii="Arial" w:hAnsi="Arial" w:eastAsia="Arial" w:cs="Arial"/>
          <w:b/>
          <w:bCs/>
          <w:color w:val="003366"/>
          <w:sz w:val="28"/>
          <w:szCs w:val="28"/>
        </w:rPr>
      </w:pPr>
    </w:p>
    <w:p w14:paraId="084403E5">
      <w:pPr>
        <w:pStyle w:val="2"/>
        <w:spacing w:before="360" w:after="140"/>
        <w:rPr>
          <w:rFonts w:ascii="Arial" w:hAnsi="Arial" w:eastAsia="Arial" w:cs="Arial"/>
          <w:b/>
          <w:bCs/>
          <w:color w:val="003366"/>
          <w:sz w:val="28"/>
          <w:szCs w:val="28"/>
        </w:rPr>
      </w:pPr>
    </w:p>
    <w:p w14:paraId="64F1F1FE">
      <w:pPr>
        <w:pStyle w:val="2"/>
        <w:spacing w:before="360" w:after="140"/>
        <w:rPr>
          <w:rFonts w:ascii="Arial" w:hAnsi="Arial" w:eastAsia="Arial" w:cs="Arial"/>
          <w:b/>
          <w:bCs/>
          <w:color w:val="003366"/>
          <w:sz w:val="28"/>
          <w:szCs w:val="28"/>
        </w:rPr>
      </w:pPr>
    </w:p>
    <w:p w14:paraId="121F3BF3">
      <w:pPr>
        <w:pStyle w:val="2"/>
        <w:spacing w:before="360" w:after="140"/>
      </w:pPr>
      <w:r>
        <w:rPr>
          <w:rFonts w:ascii="Arial" w:hAnsi="Arial" w:eastAsia="Arial" w:cs="Arial"/>
          <w:b/>
          <w:bCs/>
          <w:color w:val="003366"/>
          <w:sz w:val="28"/>
          <w:szCs w:val="28"/>
        </w:rPr>
        <w:t>4. Guión Práctico para la Exposición ante el Docente</w:t>
      </w:r>
    </w:p>
    <w:p w14:paraId="534BA3D5">
      <w:pPr>
        <w:spacing w:before="60" w:after="100"/>
      </w:pPr>
      <w:r>
        <w:rPr>
          <w:rFonts w:ascii="Segoe UI" w:hAnsi="Segoe UI" w:eastAsia="Segoe UI" w:cs="Segoe UI"/>
          <w:color w:val="1E293B"/>
          <w:sz w:val="21"/>
          <w:szCs w:val="21"/>
        </w:rPr>
        <w:t>Para realizar una demostración fluida y convincente de 5 a 10 minutos, sigue este orden:</w:t>
      </w:r>
    </w:p>
    <w:p w14:paraId="17D8F1F5">
      <w:pPr>
        <w:pStyle w:val="17"/>
        <w:numPr>
          <w:ilvl w:val="0"/>
          <w:numId w:val="1"/>
        </w:numPr>
        <w:spacing w:before="40" w:after="60"/>
      </w:pPr>
      <w:r>
        <w:rPr>
          <w:rFonts w:ascii="Segoe UI" w:hAnsi="Segoe UI" w:eastAsia="Segoe UI" w:cs="Segoe UI"/>
          <w:b/>
          <w:bCs/>
          <w:color w:val="003366"/>
          <w:sz w:val="21"/>
          <w:szCs w:val="21"/>
        </w:rPr>
        <w:t xml:space="preserve">Paso 1 (Presentación Inicial): </w:t>
      </w:r>
      <w:r>
        <w:rPr>
          <w:rFonts w:ascii="Segoe UI" w:hAnsi="Segoe UI" w:eastAsia="Segoe UI" w:cs="Segoe UI"/>
          <w:color w:val="1E293B"/>
          <w:sz w:val="21"/>
          <w:szCs w:val="21"/>
        </w:rPr>
        <w:t>Abrir la aplicación en el navegador. Mostrar el diseño corporativo Backus (Navy y Oro), la tipografía Plus Jakarta Sans y la ausencia total de emojis gracias al uso de iconos vectoriales SVG limpios e imágenes de producto.</w:t>
      </w:r>
    </w:p>
    <w:p w14:paraId="78C6F3BB">
      <w:pPr>
        <w:pStyle w:val="17"/>
        <w:numPr>
          <w:ilvl w:val="0"/>
          <w:numId w:val="1"/>
        </w:numPr>
        <w:spacing w:before="40" w:after="60"/>
      </w:pPr>
      <w:r>
        <w:rPr>
          <w:rFonts w:ascii="Segoe UI" w:hAnsi="Segoe UI" w:eastAsia="Segoe UI" w:cs="Segoe UI"/>
          <w:b/>
          <w:bCs/>
          <w:color w:val="003366"/>
          <w:sz w:val="21"/>
          <w:szCs w:val="21"/>
        </w:rPr>
        <w:t xml:space="preserve">Paso 2 (Catálogo y Filtros): </w:t>
      </w:r>
      <w:r>
        <w:rPr>
          <w:rFonts w:ascii="Segoe UI" w:hAnsi="Segoe UI" w:eastAsia="Segoe UI" w:cs="Segoe UI"/>
          <w:color w:val="1E293B"/>
          <w:sz w:val="21"/>
          <w:szCs w:val="21"/>
        </w:rPr>
        <w:t>Escribir 'pilsen' o 'trigo' en el buscador para demostrar filtrado insensible a mayúsculas/minúsculas (Regla BV-01). Combinar con el chip de categoría 'Cervezas' (Regla BV-02).</w:t>
      </w:r>
    </w:p>
    <w:p w14:paraId="038141D3">
      <w:pPr>
        <w:pStyle w:val="17"/>
        <w:numPr>
          <w:ilvl w:val="0"/>
          <w:numId w:val="1"/>
        </w:numPr>
        <w:spacing w:before="40" w:after="60"/>
      </w:pPr>
      <w:r>
        <w:rPr>
          <w:rFonts w:ascii="Segoe UI" w:hAnsi="Segoe UI" w:eastAsia="Segoe UI" w:cs="Segoe UI"/>
          <w:b/>
          <w:bCs/>
          <w:color w:val="003366"/>
          <w:sz w:val="21"/>
          <w:szCs w:val="21"/>
        </w:rPr>
        <w:t xml:space="preserve">Paso 3 (Carrito y Cálculos): </w:t>
      </w:r>
      <w:r>
        <w:rPr>
          <w:rFonts w:ascii="Segoe UI" w:hAnsi="Segoe UI" w:eastAsia="Segoe UI" w:cs="Segoe UI"/>
          <w:color w:val="1E293B"/>
          <w:sz w:val="21"/>
          <w:szCs w:val="21"/>
        </w:rPr>
        <w:t>Seleccionar cantidades con el stepper [+] / [-]. Añadir al pedido y navegar a la pestaña 'Pedido Activo'. Explicar el cálculo en tiempo real de Subtotal, IGV (18%) y Total general.</w:t>
      </w:r>
    </w:p>
    <w:p w14:paraId="10C6FCEB">
      <w:pPr>
        <w:pStyle w:val="17"/>
        <w:numPr>
          <w:ilvl w:val="0"/>
          <w:numId w:val="1"/>
        </w:numPr>
        <w:spacing w:before="40" w:after="60"/>
      </w:pPr>
      <w:r>
        <w:rPr>
          <w:rFonts w:ascii="Segoe UI" w:hAnsi="Segoe UI" w:eastAsia="Segoe UI" w:cs="Segoe UI"/>
          <w:b/>
          <w:bCs/>
          <w:color w:val="003366"/>
          <w:sz w:val="21"/>
          <w:szCs w:val="21"/>
        </w:rPr>
        <w:t xml:space="preserve">Paso 4 (Demostración Offline): </w:t>
      </w:r>
      <w:r>
        <w:rPr>
          <w:rFonts w:ascii="Segoe UI" w:hAnsi="Segoe UI" w:eastAsia="Segoe UI" w:cs="Segoe UI"/>
          <w:color w:val="1E293B"/>
          <w:sz w:val="21"/>
          <w:szCs w:val="21"/>
        </w:rPr>
        <w:t>Activar el botón 'Simular Offline' en el Header (o activar DevTools -&gt; Network -&gt; Offline). Mostrar cómo la barra superior cambia a ámbar y el destino se ajusta automáticamente a 'IndexedDB Local'.</w:t>
      </w:r>
    </w:p>
    <w:p w14:paraId="3CE17EDD">
      <w:pPr>
        <w:pStyle w:val="17"/>
        <w:numPr>
          <w:ilvl w:val="0"/>
          <w:numId w:val="1"/>
        </w:numPr>
        <w:spacing w:before="40" w:after="60"/>
      </w:pPr>
      <w:r>
        <w:rPr>
          <w:rFonts w:ascii="Segoe UI" w:hAnsi="Segoe UI" w:eastAsia="Segoe UI" w:cs="Segoe UI"/>
          <w:b/>
          <w:bCs/>
          <w:color w:val="003366"/>
          <w:sz w:val="21"/>
          <w:szCs w:val="21"/>
        </w:rPr>
        <w:t xml:space="preserve">Paso 5 (Guardado en IndexedDB): </w:t>
      </w:r>
      <w:r>
        <w:rPr>
          <w:rFonts w:ascii="Segoe UI" w:hAnsi="Segoe UI" w:eastAsia="Segoe UI" w:cs="Segoe UI"/>
          <w:color w:val="1E293B"/>
          <w:sz w:val="21"/>
          <w:szCs w:val="21"/>
        </w:rPr>
        <w:t>Presionar 'Guardar Pedido en IndexedDB'. Abrir la pestaña 'IndexedDB Local' y mostrar que la orden aparece registrada con código (#00124), origen OFFLINE y estado PENDIENTE.</w:t>
      </w:r>
    </w:p>
    <w:p w14:paraId="31CCC6AB">
      <w:pPr>
        <w:pStyle w:val="17"/>
        <w:numPr>
          <w:ilvl w:val="0"/>
          <w:numId w:val="1"/>
        </w:numPr>
        <w:spacing w:before="40" w:after="60"/>
      </w:pPr>
      <w:r>
        <w:rPr>
          <w:rFonts w:ascii="Segoe UI" w:hAnsi="Segoe UI" w:eastAsia="Segoe UI" w:cs="Segoe UI"/>
          <w:b/>
          <w:bCs/>
          <w:color w:val="003366"/>
          <w:sz w:val="21"/>
          <w:szCs w:val="21"/>
        </w:rPr>
        <w:t xml:space="preserve">Paso 6 (Verificación en DevTools): </w:t>
      </w:r>
      <w:r>
        <w:rPr>
          <w:rFonts w:ascii="Segoe UI" w:hAnsi="Segoe UI" w:eastAsia="Segoe UI" w:cs="Segoe UI"/>
          <w:color w:val="1E293B"/>
          <w:sz w:val="21"/>
          <w:szCs w:val="21"/>
        </w:rPr>
        <w:t>Abrir DevTools -&gt; Application -&gt; Storage -&gt; IndexedDB -&gt; backusVentasDB -&gt; pedidos. Demostrar al docente el registro JSON real en el navegador.</w:t>
      </w:r>
    </w:p>
    <w:p w14:paraId="17EE548E">
      <w:pPr>
        <w:pStyle w:val="2"/>
        <w:spacing w:before="360" w:after="140"/>
      </w:pPr>
      <w:r>
        <w:rPr>
          <w:rFonts w:ascii="Arial" w:hAnsi="Arial" w:eastAsia="Arial" w:cs="Arial"/>
          <w:b/>
          <w:bCs/>
          <w:color w:val="003366"/>
          <w:sz w:val="28"/>
          <w:szCs w:val="28"/>
        </w:rPr>
        <w:t>5. Matriz de Pruebas de Aceptación (Reglas BV-01 al BV-07)</w:t>
      </w:r>
    </w:p>
    <w:p w14:paraId="2D2E9B89">
      <w:pPr>
        <w:spacing w:before="60" w:after="100"/>
      </w:pPr>
      <w:r>
        <w:rPr>
          <w:rFonts w:ascii="Segoe UI" w:hAnsi="Segoe UI" w:eastAsia="Segoe UI" w:cs="Segoe UI"/>
          <w:color w:val="1E293B"/>
          <w:sz w:val="21"/>
          <w:szCs w:val="21"/>
        </w:rPr>
        <w:t>Resultados de las pruebas funcionales ejecutadas sobre la aplicación: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"/>
        <w:gridCol w:w="1588"/>
        <w:gridCol w:w="2414"/>
        <w:gridCol w:w="3356"/>
        <w:gridCol w:w="1274"/>
      </w:tblGrid>
      <w:tr w14:paraId="444D4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top w:val="single" w:color="003366" w:sz="12" w:space="0"/>
              <w:left w:val="single" w:color="CBD5E1" w:sz="8" w:space="0"/>
              <w:bottom w:val="single" w:color="003366" w:sz="16" w:space="0"/>
              <w:right w:val="single" w:color="CBD5E1" w:sz="8" w:space="0"/>
            </w:tcBorders>
            <w:shd w:val="clear" w:color="auto" w:fill="00336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011A957">
            <w:r>
              <w:rPr>
                <w:rFonts w:ascii="Arial" w:hAnsi="Arial" w:eastAsia="Arial" w:cs="Arial"/>
                <w:b/>
                <w:bCs/>
                <w:color w:val="FFFFFF"/>
              </w:rPr>
              <w:t>ID</w:t>
            </w:r>
          </w:p>
        </w:tc>
        <w:tc>
          <w:tcPr>
            <w:tcW w:w="0" w:type="auto"/>
            <w:tcBorders>
              <w:top w:val="single" w:color="003366" w:sz="12" w:space="0"/>
              <w:left w:val="single" w:color="CBD5E1" w:sz="8" w:space="0"/>
              <w:bottom w:val="single" w:color="003366" w:sz="16" w:space="0"/>
              <w:right w:val="single" w:color="CBD5E1" w:sz="8" w:space="0"/>
            </w:tcBorders>
            <w:shd w:val="clear" w:color="auto" w:fill="00336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09A4EE3">
            <w:r>
              <w:rPr>
                <w:rFonts w:ascii="Arial" w:hAnsi="Arial" w:eastAsia="Arial" w:cs="Arial"/>
                <w:b/>
                <w:bCs/>
                <w:color w:val="FFFFFF"/>
              </w:rPr>
              <w:t>Regla Evaluada</w:t>
            </w:r>
          </w:p>
        </w:tc>
        <w:tc>
          <w:tcPr>
            <w:tcW w:w="0" w:type="auto"/>
            <w:tcBorders>
              <w:top w:val="single" w:color="003366" w:sz="12" w:space="0"/>
              <w:left w:val="single" w:color="CBD5E1" w:sz="8" w:space="0"/>
              <w:bottom w:val="single" w:color="003366" w:sz="16" w:space="0"/>
              <w:right w:val="single" w:color="CBD5E1" w:sz="8" w:space="0"/>
            </w:tcBorders>
            <w:shd w:val="clear" w:color="auto" w:fill="00336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AD14409">
            <w:r>
              <w:rPr>
                <w:rFonts w:ascii="Arial" w:hAnsi="Arial" w:eastAsia="Arial" w:cs="Arial"/>
                <w:b/>
                <w:bCs/>
                <w:color w:val="FFFFFF"/>
              </w:rPr>
              <w:t>Procedimiento de Prueba</w:t>
            </w:r>
          </w:p>
        </w:tc>
        <w:tc>
          <w:tcPr>
            <w:tcW w:w="0" w:type="auto"/>
            <w:tcBorders>
              <w:top w:val="single" w:color="003366" w:sz="12" w:space="0"/>
              <w:left w:val="single" w:color="CBD5E1" w:sz="8" w:space="0"/>
              <w:bottom w:val="single" w:color="003366" w:sz="16" w:space="0"/>
              <w:right w:val="single" w:color="CBD5E1" w:sz="8" w:space="0"/>
            </w:tcBorders>
            <w:shd w:val="clear" w:color="auto" w:fill="00336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92C0AEC">
            <w:r>
              <w:rPr>
                <w:rFonts w:ascii="Arial" w:hAnsi="Arial" w:eastAsia="Arial" w:cs="Arial"/>
                <w:b/>
                <w:bCs/>
                <w:color w:val="FFFFFF"/>
              </w:rPr>
              <w:t>Resultado Esperado</w:t>
            </w:r>
          </w:p>
        </w:tc>
        <w:tc>
          <w:tcPr>
            <w:tcW w:w="0" w:type="auto"/>
            <w:tcBorders>
              <w:top w:val="single" w:color="003366" w:sz="12" w:space="0"/>
              <w:left w:val="single" w:color="CBD5E1" w:sz="8" w:space="0"/>
              <w:bottom w:val="single" w:color="003366" w:sz="16" w:space="0"/>
              <w:right w:val="single" w:color="CBD5E1" w:sz="8" w:space="0"/>
            </w:tcBorders>
            <w:shd w:val="clear" w:color="auto" w:fill="00336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ABF11A">
            <w:r>
              <w:rPr>
                <w:rFonts w:ascii="Arial" w:hAnsi="Arial" w:eastAsia="Arial" w:cs="Arial"/>
                <w:b/>
                <w:bCs/>
                <w:color w:val="FFFFFF"/>
              </w:rPr>
              <w:t>Estado</w:t>
            </w:r>
          </w:p>
        </w:tc>
      </w:tr>
      <w:tr w14:paraId="2DFC3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71A9D4">
            <w:r>
              <w:rPr>
                <w:rFonts w:ascii="Segoe UI" w:hAnsi="Segoe UI" w:eastAsia="Segoe UI" w:cs="Segoe UI"/>
                <w:b/>
                <w:bCs/>
                <w:color w:val="003366"/>
                <w:sz w:val="19"/>
                <w:szCs w:val="19"/>
              </w:rPr>
              <w:t>BV-01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D1D08">
            <w:r>
              <w:rPr>
                <w:rFonts w:ascii="Segoe UI" w:hAnsi="Segoe UI" w:eastAsia="Segoe UI" w:cs="Segoe UI"/>
                <w:color w:val="1E293B"/>
                <w:sz w:val="19"/>
                <w:szCs w:val="19"/>
              </w:rPr>
              <w:t>Búsqueda por nombre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F8EC7">
            <w:r>
              <w:rPr>
                <w:rFonts w:ascii="Segoe UI" w:hAnsi="Segoe UI" w:eastAsia="Segoe UI" w:cs="Segoe UI"/>
                <w:color w:val="1E293B"/>
                <w:sz w:val="19"/>
                <w:szCs w:val="19"/>
              </w:rPr>
              <w:t>Escribir 'pilsen' en minúsculas en el buscador.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353E16">
            <w:r>
              <w:rPr>
                <w:rFonts w:ascii="Segoe UI" w:hAnsi="Segoe UI" w:eastAsia="Segoe UI" w:cs="Segoe UI"/>
                <w:color w:val="1E293B"/>
                <w:sz w:val="19"/>
                <w:szCs w:val="19"/>
              </w:rPr>
              <w:t>Muestra coincidencias ignorando mayúsculas/minúsculas.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BAB02">
            <w:r>
              <w:rPr>
                <w:rFonts w:ascii="Segoe UI" w:hAnsi="Segoe UI" w:eastAsia="Segoe UI" w:cs="Segoe UI"/>
                <w:color w:val="1E293B"/>
                <w:sz w:val="19"/>
                <w:szCs w:val="19"/>
              </w:rPr>
              <w:t>APROBADO</w:t>
            </w:r>
          </w:p>
        </w:tc>
      </w:tr>
      <w:tr w14:paraId="658F9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CF2B51">
            <w:r>
              <w:rPr>
                <w:rFonts w:ascii="Segoe UI" w:hAnsi="Segoe UI" w:eastAsia="Segoe UI" w:cs="Segoe UI"/>
                <w:b/>
                <w:bCs/>
                <w:color w:val="003366"/>
                <w:sz w:val="19"/>
                <w:szCs w:val="19"/>
              </w:rPr>
              <w:t>BV-02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D8C87">
            <w:r>
              <w:rPr>
                <w:rFonts w:ascii="Segoe UI" w:hAnsi="Segoe UI" w:eastAsia="Segoe UI" w:cs="Segoe UI"/>
                <w:color w:val="1E293B"/>
                <w:sz w:val="19"/>
                <w:szCs w:val="19"/>
              </w:rPr>
              <w:t>Búsqueda + Categoría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C50989">
            <w:r>
              <w:rPr>
                <w:rFonts w:ascii="Segoe UI" w:hAnsi="Segoe UI" w:eastAsia="Segoe UI" w:cs="Segoe UI"/>
                <w:color w:val="1E293B"/>
                <w:sz w:val="19"/>
                <w:szCs w:val="19"/>
              </w:rPr>
              <w:t>Seleccionar 'Cervezas' y buscar 'trigo'.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0B9539">
            <w:r>
              <w:rPr>
                <w:rFonts w:ascii="Segoe UI" w:hAnsi="Segoe UI" w:eastAsia="Segoe UI" w:cs="Segoe UI"/>
                <w:color w:val="1E293B"/>
                <w:sz w:val="19"/>
                <w:szCs w:val="19"/>
              </w:rPr>
              <w:t>Filtra únicamente los productos que cumplen ambas condiciones.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689E59">
            <w:r>
              <w:rPr>
                <w:rFonts w:ascii="Segoe UI" w:hAnsi="Segoe UI" w:eastAsia="Segoe UI" w:cs="Segoe UI"/>
                <w:color w:val="1E293B"/>
                <w:sz w:val="19"/>
                <w:szCs w:val="19"/>
              </w:rPr>
              <w:t>APROBADO</w:t>
            </w:r>
          </w:p>
        </w:tc>
      </w:tr>
      <w:tr w14:paraId="2E276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26D59">
            <w:r>
              <w:rPr>
                <w:rFonts w:ascii="Segoe UI" w:hAnsi="Segoe UI" w:eastAsia="Segoe UI" w:cs="Segoe UI"/>
                <w:b/>
                <w:bCs/>
                <w:color w:val="003366"/>
                <w:sz w:val="19"/>
                <w:szCs w:val="19"/>
              </w:rPr>
              <w:t>BV-03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29BE3C">
            <w:r>
              <w:rPr>
                <w:rFonts w:ascii="Segoe UI" w:hAnsi="Segoe UI" w:eastAsia="Segoe UI" w:cs="Segoe UI"/>
                <w:color w:val="1E293B"/>
                <w:sz w:val="19"/>
                <w:szCs w:val="19"/>
              </w:rPr>
              <w:t>Cantidad entera positiva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73C18A">
            <w:r>
              <w:rPr>
                <w:rFonts w:ascii="Segoe UI" w:hAnsi="Segoe UI" w:eastAsia="Segoe UI" w:cs="Segoe UI"/>
                <w:color w:val="1E293B"/>
                <w:sz w:val="19"/>
                <w:szCs w:val="19"/>
              </w:rPr>
              <w:t>Ingresar ceros, negativos o decimales.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D49863">
            <w:r>
              <w:rPr>
                <w:rFonts w:ascii="Segoe UI" w:hAnsi="Segoe UI" w:eastAsia="Segoe UI" w:cs="Segoe UI"/>
                <w:color w:val="1E293B"/>
                <w:sz w:val="19"/>
                <w:szCs w:val="19"/>
              </w:rPr>
              <w:t>El stepper valida e impide cantidades menores que 1.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E6CBDC">
            <w:r>
              <w:rPr>
                <w:rFonts w:ascii="Segoe UI" w:hAnsi="Segoe UI" w:eastAsia="Segoe UI" w:cs="Segoe UI"/>
                <w:color w:val="1E293B"/>
                <w:sz w:val="19"/>
                <w:szCs w:val="19"/>
              </w:rPr>
              <w:t>APROBADO</w:t>
            </w:r>
          </w:p>
        </w:tc>
      </w:tr>
      <w:tr w14:paraId="6A92C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5D5A66">
            <w:r>
              <w:rPr>
                <w:rFonts w:ascii="Segoe UI" w:hAnsi="Segoe UI" w:eastAsia="Segoe UI" w:cs="Segoe UI"/>
                <w:b/>
                <w:bCs/>
                <w:color w:val="003366"/>
                <w:sz w:val="19"/>
                <w:szCs w:val="19"/>
              </w:rPr>
              <w:t>BV-04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1D6FE">
            <w:r>
              <w:rPr>
                <w:rFonts w:ascii="Segoe UI" w:hAnsi="Segoe UI" w:eastAsia="Segoe UI" w:cs="Segoe UI"/>
                <w:color w:val="1E293B"/>
                <w:sz w:val="19"/>
                <w:szCs w:val="19"/>
              </w:rPr>
              <w:t>Cálculo Subtotal y Total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81A33E">
            <w:r>
              <w:rPr>
                <w:rFonts w:ascii="Segoe UI" w:hAnsi="Segoe UI" w:eastAsia="Segoe UI" w:cs="Segoe UI"/>
                <w:color w:val="1E293B"/>
                <w:sz w:val="19"/>
                <w:szCs w:val="19"/>
              </w:rPr>
              <w:t>Añadir 2 botellas de S/ 9.50 y 1 de S/ 8.50.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605A9D">
            <w:r>
              <w:rPr>
                <w:rFonts w:ascii="Segoe UI" w:hAnsi="Segoe UI" w:eastAsia="Segoe UI" w:cs="Segoe UI"/>
                <w:color w:val="1E293B"/>
                <w:sz w:val="19"/>
                <w:szCs w:val="19"/>
              </w:rPr>
              <w:t>Calcula Subtotal S/ 27.50 e IGV 18% con exactitud.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8111C0">
            <w:r>
              <w:rPr>
                <w:rFonts w:ascii="Segoe UI" w:hAnsi="Segoe UI" w:eastAsia="Segoe UI" w:cs="Segoe UI"/>
                <w:color w:val="1E293B"/>
                <w:sz w:val="19"/>
                <w:szCs w:val="19"/>
              </w:rPr>
              <w:t>APROBADO</w:t>
            </w:r>
          </w:p>
        </w:tc>
      </w:tr>
      <w:tr w14:paraId="5B6EB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1B8A64">
            <w:r>
              <w:rPr>
                <w:rFonts w:ascii="Segoe UI" w:hAnsi="Segoe UI" w:eastAsia="Segoe UI" w:cs="Segoe UI"/>
                <w:b/>
                <w:bCs/>
                <w:color w:val="003366"/>
                <w:sz w:val="19"/>
                <w:szCs w:val="19"/>
              </w:rPr>
              <w:t>BV-05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98E6EF">
            <w:r>
              <w:rPr>
                <w:rFonts w:ascii="Segoe UI" w:hAnsi="Segoe UI" w:eastAsia="Segoe UI" w:cs="Segoe UI"/>
                <w:color w:val="1E293B"/>
                <w:sz w:val="19"/>
                <w:szCs w:val="19"/>
              </w:rPr>
              <w:t>Persistencia previa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E0390A">
            <w:r>
              <w:rPr>
                <w:rFonts w:ascii="Segoe UI" w:hAnsi="Segoe UI" w:eastAsia="Segoe UI" w:cs="Segoe UI"/>
                <w:color w:val="1E293B"/>
                <w:sz w:val="19"/>
                <w:szCs w:val="19"/>
              </w:rPr>
              <w:t>Guardar pedido y recargar la página (F5).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F902C9">
            <w:r>
              <w:rPr>
                <w:rFonts w:ascii="Segoe UI" w:hAnsi="Segoe UI" w:eastAsia="Segoe UI" w:cs="Segoe UI"/>
                <w:color w:val="1E293B"/>
                <w:sz w:val="19"/>
                <w:szCs w:val="19"/>
              </w:rPr>
              <w:t>El pedido sigue presente en la pestaña de IndexedDB.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EC9DCE">
            <w:r>
              <w:rPr>
                <w:rFonts w:ascii="Segoe UI" w:hAnsi="Segoe UI" w:eastAsia="Segoe UI" w:cs="Segoe UI"/>
                <w:color w:val="1E293B"/>
                <w:sz w:val="19"/>
                <w:szCs w:val="19"/>
              </w:rPr>
              <w:t>APROBADO</w:t>
            </w:r>
          </w:p>
        </w:tc>
      </w:tr>
      <w:tr w14:paraId="1157E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32C55">
            <w:r>
              <w:rPr>
                <w:rFonts w:ascii="Segoe UI" w:hAnsi="Segoe UI" w:eastAsia="Segoe UI" w:cs="Segoe UI"/>
                <w:b/>
                <w:bCs/>
                <w:color w:val="003366"/>
                <w:sz w:val="19"/>
                <w:szCs w:val="19"/>
              </w:rPr>
              <w:t>BV-06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890EB">
            <w:r>
              <w:rPr>
                <w:rFonts w:ascii="Segoe UI" w:hAnsi="Segoe UI" w:eastAsia="Segoe UI" w:cs="Segoe UI"/>
                <w:color w:val="1E293B"/>
                <w:sz w:val="19"/>
                <w:szCs w:val="19"/>
              </w:rPr>
              <w:t>Sin API no hay sync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7C719F">
            <w:r>
              <w:rPr>
                <w:rFonts w:ascii="Segoe UI" w:hAnsi="Segoe UI" w:eastAsia="Segoe UI" w:cs="Segoe UI"/>
                <w:color w:val="1E293B"/>
                <w:sz w:val="19"/>
                <w:szCs w:val="19"/>
              </w:rPr>
              <w:t>Guardar en modo online u offline.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1FA9F8">
            <w:r>
              <w:rPr>
                <w:rFonts w:ascii="Segoe UI" w:hAnsi="Segoe UI" w:eastAsia="Segoe UI" w:cs="Segoe UI"/>
                <w:color w:val="1E293B"/>
                <w:sz w:val="19"/>
                <w:szCs w:val="19"/>
              </w:rPr>
              <w:t>El pedido conserva estado PENDIENTE con mensaje transparente.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C85454">
            <w:r>
              <w:rPr>
                <w:rFonts w:ascii="Segoe UI" w:hAnsi="Segoe UI" w:eastAsia="Segoe UI" w:cs="Segoe UI"/>
                <w:color w:val="1E293B"/>
                <w:sz w:val="19"/>
                <w:szCs w:val="19"/>
              </w:rPr>
              <w:t>APROBADO</w:t>
            </w:r>
          </w:p>
        </w:tc>
      </w:tr>
      <w:tr w14:paraId="6BB81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54A397">
            <w:r>
              <w:rPr>
                <w:rFonts w:ascii="Segoe UI" w:hAnsi="Segoe UI" w:eastAsia="Segoe UI" w:cs="Segoe UI"/>
                <w:b/>
                <w:bCs/>
                <w:color w:val="003366"/>
                <w:sz w:val="19"/>
                <w:szCs w:val="19"/>
              </w:rPr>
              <w:t>BV-07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14D882">
            <w:r>
              <w:rPr>
                <w:rFonts w:ascii="Segoe UI" w:hAnsi="Segoe UI" w:eastAsia="Segoe UI" w:cs="Segoe UI"/>
                <w:color w:val="1E293B"/>
                <w:sz w:val="19"/>
                <w:szCs w:val="19"/>
              </w:rPr>
              <w:t>Error de IndexedDB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2C86B">
            <w:r>
              <w:rPr>
                <w:rFonts w:ascii="Segoe UI" w:hAnsi="Segoe UI" w:eastAsia="Segoe UI" w:cs="Segoe UI"/>
                <w:color w:val="1E293B"/>
                <w:sz w:val="19"/>
                <w:szCs w:val="19"/>
              </w:rPr>
              <w:t>Captura de errores en transacciones.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8F9EDE">
            <w:r>
              <w:rPr>
                <w:rFonts w:ascii="Segoe UI" w:hAnsi="Segoe UI" w:eastAsia="Segoe UI" w:cs="Segoe UI"/>
                <w:color w:val="1E293B"/>
                <w:sz w:val="19"/>
                <w:szCs w:val="19"/>
              </w:rPr>
              <w:t>Se notifica al usuario sin arrojar mensajes falsos de éxito.</w:t>
            </w:r>
          </w:p>
        </w:tc>
        <w:tc>
          <w:tcPr>
            <w:tcW w:w="0" w:type="auto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CE7700">
            <w:r>
              <w:rPr>
                <w:rFonts w:ascii="Segoe UI" w:hAnsi="Segoe UI" w:eastAsia="Segoe UI" w:cs="Segoe UI"/>
                <w:color w:val="1E293B"/>
                <w:sz w:val="19"/>
                <w:szCs w:val="19"/>
              </w:rPr>
              <w:t>APROBADO</w:t>
            </w:r>
          </w:p>
        </w:tc>
      </w:tr>
    </w:tbl>
    <w:p w14:paraId="4F16159E">
      <w:pPr>
        <w:pStyle w:val="2"/>
        <w:spacing w:before="360" w:after="140"/>
      </w:pPr>
      <w:r>
        <w:rPr>
          <w:rFonts w:ascii="Arial" w:hAnsi="Arial" w:eastAsia="Arial" w:cs="Arial"/>
          <w:b/>
          <w:bCs/>
          <w:color w:val="003366"/>
          <w:sz w:val="28"/>
          <w:szCs w:val="28"/>
        </w:rPr>
        <w:t>6. Respuestas a las Preguntas de Reflexión (Página 5)</w:t>
      </w:r>
    </w:p>
    <w:p w14:paraId="1D483534">
      <w:pPr>
        <w:spacing w:before="60" w:after="100"/>
      </w:pPr>
      <w:r>
        <w:rPr>
          <w:rFonts w:ascii="Segoe UI" w:hAnsi="Segoe UI" w:eastAsia="Segoe UI" w:cs="Segoe UI"/>
          <w:color w:val="1E293B"/>
          <w:sz w:val="21"/>
          <w:szCs w:val="21"/>
        </w:rPr>
        <w:t>Estas respuestas están redactadas técnicamente para responder cualquier pregunta sorpresa del docente:</w:t>
      </w:r>
    </w:p>
    <w:p w14:paraId="762DC775">
      <w:pPr>
        <w:pStyle w:val="17"/>
        <w:numPr>
          <w:ilvl w:val="0"/>
          <w:numId w:val="1"/>
        </w:numPr>
        <w:spacing w:before="40" w:after="60"/>
      </w:pPr>
      <w:r>
        <w:rPr>
          <w:rFonts w:ascii="Segoe UI" w:hAnsi="Segoe UI" w:eastAsia="Segoe UI" w:cs="Segoe UI"/>
          <w:b/>
          <w:bCs/>
          <w:color w:val="003366"/>
          <w:sz w:val="21"/>
          <w:szCs w:val="21"/>
        </w:rPr>
        <w:t xml:space="preserve">9. ¿Por qué persistir un pedido antes de confirmar el guardado? </w:t>
      </w:r>
      <w:r>
        <w:rPr>
          <w:rFonts w:ascii="Segoe UI" w:hAnsi="Segoe UI" w:eastAsia="Segoe UI" w:cs="Segoe UI"/>
          <w:color w:val="1E293B"/>
          <w:sz w:val="21"/>
          <w:szCs w:val="21"/>
        </w:rPr>
        <w:t>Porque en aplicaciones móviles de campo la conectividad es volátil. Persistir primero en IndexedDB (patrón Offline-First) garantiza que ninguna orden se pierda por un microcorte de red, permitiendo reintentar el despacho en cualquier momento.</w:t>
      </w:r>
    </w:p>
    <w:p w14:paraId="5549BCDA">
      <w:pPr>
        <w:pStyle w:val="17"/>
        <w:numPr>
          <w:ilvl w:val="0"/>
          <w:numId w:val="1"/>
        </w:numPr>
        <w:spacing w:before="40" w:after="60"/>
      </w:pPr>
      <w:r>
        <w:rPr>
          <w:rFonts w:ascii="Segoe UI" w:hAnsi="Segoe UI" w:eastAsia="Segoe UI" w:cs="Segoe UI"/>
          <w:b/>
          <w:bCs/>
          <w:color w:val="003366"/>
          <w:sz w:val="21"/>
          <w:szCs w:val="21"/>
        </w:rPr>
        <w:t xml:space="preserve">10. ¿Qué diferencia hay entre Cache Storage e IndexedDB? </w:t>
      </w:r>
      <w:r>
        <w:rPr>
          <w:rFonts w:ascii="Segoe UI" w:hAnsi="Segoe UI" w:eastAsia="Segoe UI" w:cs="Segoe UI"/>
          <w:color w:val="1E293B"/>
          <w:sz w:val="21"/>
          <w:szCs w:val="21"/>
        </w:rPr>
        <w:t>Cache Storage almacena pares de solicitud y respuesta HTTP (Request/Response) como archivos HTML, CSS, bundles JS, fuentes e imágenes SVG. En cambio, IndexedDB es una base de datos NoSQL transaccional que guarda objetos de datos estructurados (como los pedidos con clientes, cantidades y totales).</w:t>
      </w:r>
    </w:p>
    <w:p w14:paraId="08DEE006">
      <w:pPr>
        <w:pStyle w:val="17"/>
        <w:numPr>
          <w:ilvl w:val="0"/>
          <w:numId w:val="1"/>
        </w:numPr>
        <w:spacing w:before="40" w:after="60"/>
      </w:pPr>
      <w:r>
        <w:rPr>
          <w:rFonts w:ascii="Segoe UI" w:hAnsi="Segoe UI" w:eastAsia="Segoe UI" w:cs="Segoe UI"/>
          <w:b/>
          <w:bCs/>
          <w:color w:val="003366"/>
          <w:sz w:val="21"/>
          <w:szCs w:val="21"/>
        </w:rPr>
        <w:t xml:space="preserve">11. ¿Qué debería enviarse a una API cuando se implemente la sincronización? </w:t>
      </w:r>
      <w:r>
        <w:rPr>
          <w:rFonts w:ascii="Segoe UI" w:hAnsi="Segoe UI" w:eastAsia="Segoe UI" w:cs="Segoe UI"/>
          <w:color w:val="1E293B"/>
          <w:sz w:val="21"/>
          <w:szCs w:val="21"/>
        </w:rPr>
        <w:t>Un objeto JSON con: identificador UUID de idempotencia, timestamp ISO, código del cliente/bodega, código del vendedor, lista de ítems con productoId, cantidad y precio unitario, y token de seguridad. Al recibir HTTP 200/201 del servidor, el pedido pasa a SINCRONIZADO.</w:t>
      </w:r>
    </w:p>
    <w:p w14:paraId="6944FE13">
      <w:pPr>
        <w:pStyle w:val="17"/>
        <w:numPr>
          <w:ilvl w:val="0"/>
          <w:numId w:val="1"/>
        </w:numPr>
        <w:spacing w:before="40" w:after="60"/>
      </w:pPr>
      <w:r>
        <w:rPr>
          <w:rFonts w:ascii="Segoe UI" w:hAnsi="Segoe UI" w:eastAsia="Segoe UI" w:cs="Segoe UI"/>
          <w:b/>
          <w:bCs/>
          <w:color w:val="003366"/>
          <w:sz w:val="21"/>
          <w:szCs w:val="21"/>
        </w:rPr>
        <w:t xml:space="preserve">12. ¿Cómo evitarías duplicar pedidos tras varios intentos? </w:t>
      </w:r>
      <w:r>
        <w:rPr>
          <w:rFonts w:ascii="Segoe UI" w:hAnsi="Segoe UI" w:eastAsia="Segoe UI" w:cs="Segoe UI"/>
          <w:color w:val="1E293B"/>
          <w:sz w:val="21"/>
          <w:szCs w:val="21"/>
        </w:rPr>
        <w:t>Mediante dos mecanismos: (1) Generar un UUID único en el cliente para cada pedido y validarlo en el backend antes de insertar; si ya existe, se devuelve la orden previa. (2) Deshabilitar los botones de envío en la interfaz mientras la sincronización esté en curso.</w:t>
      </w:r>
    </w:p>
    <w:p w14:paraId="16D40C13">
      <w:pPr>
        <w:pStyle w:val="2"/>
        <w:spacing w:before="360" w:after="140"/>
      </w:pPr>
      <w:r>
        <w:rPr>
          <w:rFonts w:ascii="Arial" w:hAnsi="Arial" w:eastAsia="Arial" w:cs="Arial"/>
          <w:b/>
          <w:bCs/>
          <w:color w:val="003366"/>
          <w:sz w:val="28"/>
          <w:szCs w:val="28"/>
        </w:rPr>
        <w:t>7. Evidencias del Proyecto (Capturas de Pantalla)</w:t>
      </w:r>
    </w:p>
    <w:p w14:paraId="5FE00154">
      <w:pPr>
        <w:spacing w:before="60" w:after="100"/>
        <w:rPr>
          <w:rFonts w:ascii="Segoe UI" w:hAnsi="Segoe UI" w:eastAsia="Segoe UI" w:cs="Segoe UI"/>
          <w:color w:val="1E293B"/>
          <w:sz w:val="21"/>
          <w:szCs w:val="21"/>
        </w:rPr>
      </w:pPr>
      <w:r>
        <w:rPr>
          <w:rFonts w:ascii="Segoe UI" w:hAnsi="Segoe UI" w:eastAsia="Segoe UI" w:cs="Segoe UI"/>
          <w:color w:val="1E293B"/>
          <w:sz w:val="21"/>
          <w:szCs w:val="21"/>
        </w:rPr>
        <w:t>A continuación, se presentan los espacios prediseñados para insertar las 5 capturas solicitadas en la rúbrica oficial:</w:t>
      </w:r>
    </w:p>
    <w:p w14:paraId="2DAB6026">
      <w:pPr>
        <w:spacing w:before="60" w:after="100"/>
        <w:rPr>
          <w:rFonts w:ascii="Segoe UI" w:hAnsi="Segoe UI" w:eastAsia="Segoe UI" w:cs="Segoe UI"/>
          <w:color w:val="1E293B"/>
          <w:sz w:val="21"/>
          <w:szCs w:val="21"/>
        </w:rPr>
      </w:pPr>
    </w:p>
    <w:p w14:paraId="326590F4">
      <w:pPr>
        <w:spacing w:before="60" w:after="100"/>
      </w:pPr>
    </w:p>
    <w:p w14:paraId="4E405AA7">
      <w:pPr>
        <w:spacing w:after="160"/>
      </w:pPr>
      <w:r>
        <w:drawing>
          <wp:inline distT="0" distB="0" distL="0" distR="0">
            <wp:extent cx="5407025" cy="2958465"/>
            <wp:effectExtent l="0" t="0" r="3175" b="133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7025" cy="2958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D2DADD">
      <w:pPr>
        <w:spacing w:after="160"/>
      </w:pPr>
    </w:p>
    <w:p w14:paraId="3CC4B2F9">
      <w:pPr>
        <w:spacing w:after="160"/>
      </w:pPr>
      <w:r>
        <w:drawing>
          <wp:inline distT="0" distB="0" distL="114300" distR="114300">
            <wp:extent cx="5719445" cy="3299460"/>
            <wp:effectExtent l="0" t="0" r="10795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8A1B5">
      <w:pPr>
        <w:spacing w:after="160"/>
      </w:pPr>
    </w:p>
    <w:p w14:paraId="69E84D91">
      <w:pPr>
        <w:spacing w:after="160"/>
      </w:pPr>
    </w:p>
    <w:p w14:paraId="19030201">
      <w:pPr>
        <w:spacing w:after="160"/>
      </w:pPr>
    </w:p>
    <w:p w14:paraId="297E63C2">
      <w:pPr>
        <w:spacing w:after="160"/>
      </w:pPr>
      <w:r>
        <w:drawing>
          <wp:inline distT="0" distB="0" distL="114300" distR="114300">
            <wp:extent cx="5732780" cy="3323590"/>
            <wp:effectExtent l="0" t="0" r="12700" b="13970"/>
            <wp:docPr id="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60FDE">
      <w:pPr>
        <w:spacing w:after="160"/>
      </w:pPr>
    </w:p>
    <w:p w14:paraId="751B0327">
      <w:pPr>
        <w:spacing w:after="160"/>
      </w:pPr>
    </w:p>
    <w:p w14:paraId="19ADE9E6">
      <w:pPr>
        <w:spacing w:after="160"/>
      </w:pPr>
    </w:p>
    <w:p w14:paraId="53C66184">
      <w:pPr>
        <w:spacing w:after="160"/>
      </w:pPr>
    </w:p>
    <w:p w14:paraId="0671D659">
      <w:pPr>
        <w:spacing w:after="160"/>
      </w:pPr>
    </w:p>
    <w:p w14:paraId="553891DA">
      <w:pPr>
        <w:spacing w:after="160"/>
      </w:pPr>
      <w:r>
        <w:drawing>
          <wp:inline distT="0" distB="0" distL="114300" distR="114300">
            <wp:extent cx="5924550" cy="2847340"/>
            <wp:effectExtent l="0" t="0" r="3810" b="2540"/>
            <wp:docPr id="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81412">
      <w:pPr>
        <w:spacing w:after="200"/>
      </w:pPr>
    </w:p>
    <w:p w14:paraId="1211898A">
      <w:pPr>
        <w:spacing w:after="200"/>
        <w:jc w:val="center"/>
      </w:pPr>
      <w:bookmarkStart w:id="0" w:name="_GoBack"/>
      <w:r>
        <w:drawing>
          <wp:inline distT="0" distB="0" distL="114300" distR="114300">
            <wp:extent cx="4048760" cy="4910455"/>
            <wp:effectExtent l="0" t="0" r="5080" b="12065"/>
            <wp:docPr id="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8760" cy="491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DD8247">
    <w:pPr>
      <w:jc w:val="center"/>
    </w:pPr>
    <w:r>
      <w:rPr>
        <w:rFonts w:ascii="Segoe UI" w:hAnsi="Segoe UI" w:eastAsia="Segoe UI" w:cs="Segoe UI"/>
        <w:color w:val="64748B"/>
        <w:sz w:val="18"/>
        <w:szCs w:val="18"/>
      </w:rPr>
      <w:t xml:space="preserve">Página </w:t>
    </w:r>
    <w:r>
      <w:rPr>
        <w:rFonts w:ascii="Segoe UI" w:hAnsi="Segoe UI" w:eastAsia="Segoe UI" w:cs="Segoe UI"/>
        <w:color w:val="64748B"/>
        <w:sz w:val="18"/>
        <w:szCs w:val="18"/>
      </w:rPr>
      <w:fldChar w:fldCharType="begin"/>
    </w:r>
    <w:r>
      <w:rPr>
        <w:rFonts w:ascii="Segoe UI" w:hAnsi="Segoe UI" w:eastAsia="Segoe UI" w:cs="Segoe UI"/>
        <w:color w:val="64748B"/>
        <w:sz w:val="18"/>
        <w:szCs w:val="18"/>
      </w:rPr>
      <w:instrText xml:space="preserve">PAGE</w:instrText>
    </w:r>
    <w:r>
      <w:rPr>
        <w:rFonts w:ascii="Segoe UI" w:hAnsi="Segoe UI" w:eastAsia="Segoe UI" w:cs="Segoe UI"/>
        <w:color w:val="64748B"/>
        <w:sz w:val="18"/>
        <w:szCs w:val="18"/>
      </w:rPr>
      <w:fldChar w:fldCharType="separate"/>
    </w:r>
    <w:r>
      <w:rPr>
        <w:rFonts w:ascii="Segoe UI" w:hAnsi="Segoe UI" w:eastAsia="Segoe UI" w:cs="Segoe UI"/>
        <w:color w:val="64748B"/>
        <w:sz w:val="18"/>
        <w:szCs w:val="18"/>
      </w:rPr>
      <w:t>1</w:t>
    </w:r>
    <w:r>
      <w:rPr>
        <w:rFonts w:ascii="Segoe UI" w:hAnsi="Segoe UI" w:eastAsia="Segoe UI" w:cs="Segoe UI"/>
        <w:color w:val="64748B"/>
        <w:sz w:val="18"/>
        <w:szCs w:val="18"/>
      </w:rPr>
      <w:fldChar w:fldCharType="end"/>
    </w:r>
    <w:r>
      <w:rPr>
        <w:rFonts w:ascii="Segoe UI" w:hAnsi="Segoe UI" w:eastAsia="Segoe UI" w:cs="Segoe UI"/>
        <w:color w:val="64748B"/>
        <w:sz w:val="18"/>
        <w:szCs w:val="18"/>
      </w:rPr>
      <w:t xml:space="preserve"> de </w:t>
    </w:r>
    <w:r>
      <w:rPr>
        <w:rFonts w:ascii="Segoe UI" w:hAnsi="Segoe UI" w:eastAsia="Segoe UI" w:cs="Segoe UI"/>
        <w:color w:val="64748B"/>
        <w:sz w:val="18"/>
        <w:szCs w:val="18"/>
      </w:rPr>
      <w:fldChar w:fldCharType="begin"/>
    </w:r>
    <w:r>
      <w:rPr>
        <w:rFonts w:ascii="Segoe UI" w:hAnsi="Segoe UI" w:eastAsia="Segoe UI" w:cs="Segoe UI"/>
        <w:color w:val="64748B"/>
        <w:sz w:val="18"/>
        <w:szCs w:val="18"/>
      </w:rPr>
      <w:instrText xml:space="preserve">NUMPAGES</w:instrText>
    </w:r>
    <w:r>
      <w:rPr>
        <w:rFonts w:ascii="Segoe UI" w:hAnsi="Segoe UI" w:eastAsia="Segoe UI" w:cs="Segoe UI"/>
        <w:color w:val="64748B"/>
        <w:sz w:val="18"/>
        <w:szCs w:val="18"/>
      </w:rPr>
      <w:fldChar w:fldCharType="separate"/>
    </w:r>
    <w:r>
      <w:rPr>
        <w:rFonts w:ascii="Segoe UI" w:hAnsi="Segoe UI" w:eastAsia="Segoe UI" w:cs="Segoe UI"/>
        <w:color w:val="64748B"/>
        <w:sz w:val="18"/>
        <w:szCs w:val="18"/>
      </w:rPr>
      <w:t>2</w:t>
    </w:r>
    <w:r>
      <w:rPr>
        <w:rFonts w:ascii="Segoe UI" w:hAnsi="Segoe UI" w:eastAsia="Segoe UI" w:cs="Segoe UI"/>
        <w:color w:val="64748B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CF7442">
    <w:pPr>
      <w:jc w:val="right"/>
    </w:pPr>
    <w:r>
      <w:rPr>
        <w:rFonts w:ascii="Segoe UI" w:hAnsi="Segoe UI" w:eastAsia="Segoe UI" w:cs="Segoe UI"/>
        <w:color w:val="64748B"/>
        <w:sz w:val="16"/>
        <w:szCs w:val="16"/>
      </w:rPr>
      <w:t>SENATI | Taller PWA – Backus Ventas B2B Móvil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42117F"/>
    <w:multiLevelType w:val="multilevel"/>
    <w:tmpl w:val="0B42117F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CD3"/>
    <w:rsid w:val="002A7E89"/>
    <w:rsid w:val="00AB44E9"/>
    <w:rsid w:val="00B34E84"/>
    <w:rsid w:val="00B54CD3"/>
    <w:rsid w:val="00FB677A"/>
    <w:rsid w:val="1C163605"/>
    <w:rsid w:val="41690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s-PE" w:eastAsia="es-PE" w:bidi="ar-SA"/>
    </w:rPr>
  </w:style>
  <w:style w:type="paragraph" w:styleId="2">
    <w:name w:val="heading 1"/>
    <w:basedOn w:val="1"/>
    <w:next w:val="1"/>
    <w:qFormat/>
    <w:uiPriority w:val="9"/>
    <w:pPr>
      <w:outlineLvl w:val="0"/>
    </w:pPr>
    <w:rPr>
      <w:color w:val="2E74B5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9"/>
    <w:pPr>
      <w:outlineLvl w:val="1"/>
    </w:pPr>
    <w:rPr>
      <w:color w:val="2E74B5"/>
      <w:sz w:val="26"/>
      <w:szCs w:val="26"/>
    </w:rPr>
  </w:style>
  <w:style w:type="paragraph" w:styleId="4">
    <w:name w:val="heading 3"/>
    <w:basedOn w:val="1"/>
    <w:next w:val="1"/>
    <w:semiHidden/>
    <w:unhideWhenUsed/>
    <w:qFormat/>
    <w:uiPriority w:val="9"/>
    <w:pPr>
      <w:outlineLvl w:val="2"/>
    </w:pPr>
    <w:rPr>
      <w:color w:val="1F4D78"/>
      <w:sz w:val="24"/>
      <w:szCs w:val="24"/>
    </w:rPr>
  </w:style>
  <w:style w:type="paragraph" w:styleId="5">
    <w:name w:val="heading 4"/>
    <w:basedOn w:val="1"/>
    <w:next w:val="1"/>
    <w:semiHidden/>
    <w:unhideWhenUsed/>
    <w:qFormat/>
    <w:uiPriority w:val="9"/>
    <w:pPr>
      <w:outlineLvl w:val="3"/>
    </w:pPr>
    <w:rPr>
      <w:i/>
      <w:iCs/>
      <w:color w:val="2E74B5"/>
    </w:rPr>
  </w:style>
  <w:style w:type="paragraph" w:styleId="6">
    <w:name w:val="heading 5"/>
    <w:basedOn w:val="1"/>
    <w:next w:val="1"/>
    <w:semiHidden/>
    <w:unhideWhenUsed/>
    <w:qFormat/>
    <w:uiPriority w:val="9"/>
    <w:pPr>
      <w:outlineLvl w:val="4"/>
    </w:pPr>
    <w:rPr>
      <w:color w:val="2E74B5"/>
    </w:rPr>
  </w:style>
  <w:style w:type="paragraph" w:styleId="7">
    <w:name w:val="heading 6"/>
    <w:basedOn w:val="1"/>
    <w:next w:val="1"/>
    <w:semiHidden/>
    <w:unhideWhenUsed/>
    <w:qFormat/>
    <w:uiPriority w:val="9"/>
    <w:pPr>
      <w:outlineLvl w:val="5"/>
    </w:pPr>
    <w:rPr>
      <w:color w:val="1F4D7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footnote text"/>
    <w:basedOn w:val="1"/>
    <w:link w:val="18"/>
    <w:semiHidden/>
    <w:unhideWhenUsed/>
    <w:qFormat/>
    <w:uiPriority w:val="99"/>
  </w:style>
  <w:style w:type="paragraph" w:styleId="14">
    <w:name w:val="endnote text"/>
    <w:basedOn w:val="1"/>
    <w:link w:val="19"/>
    <w:semiHidden/>
    <w:unhideWhenUsed/>
    <w:uiPriority w:val="99"/>
  </w:style>
  <w:style w:type="paragraph" w:styleId="15">
    <w:name w:val="Title"/>
    <w:basedOn w:val="1"/>
    <w:next w:val="1"/>
    <w:qFormat/>
    <w:uiPriority w:val="10"/>
    <w:rPr>
      <w:sz w:val="56"/>
      <w:szCs w:val="56"/>
    </w:rPr>
  </w:style>
  <w:style w:type="paragraph" w:customStyle="1" w:styleId="16">
    <w:name w:val="Texto en negrita1"/>
    <w:basedOn w:val="1"/>
    <w:next w:val="1"/>
    <w:qFormat/>
    <w:uiPriority w:val="0"/>
    <w:rPr>
      <w:b/>
      <w:bCs/>
    </w:rPr>
  </w:style>
  <w:style w:type="paragraph" w:styleId="17">
    <w:name w:val="List Paragraph"/>
    <w:basedOn w:val="1"/>
    <w:qFormat/>
    <w:uiPriority w:val="0"/>
  </w:style>
  <w:style w:type="character" w:customStyle="1" w:styleId="18">
    <w:name w:val="Texto nota pie C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Texto nota al final Car"/>
    <w:link w:val="14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483</Words>
  <Characters>2968</Characters>
  <Lines>65</Lines>
  <Paragraphs>18</Paragraphs>
  <TotalTime>32</TotalTime>
  <ScaleCrop>false</ScaleCrop>
  <LinksUpToDate>false</LinksUpToDate>
  <CharactersWithSpaces>3399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2026-10-16T17:10:00Z</dcterms:created>
  <dc:creator>Un-named</dc:creator>
  <cp:lastModifiedBy>Leo Blanck</cp:lastModifiedBy>
  <dcterms:modified xsi:type="dcterms:W3CDTF">2026-10-16T21:58:18Z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eyJoZGlkIjoiMjZjZGU2MTg4NjAzODhkMDU1ODExYzA0N2NiNGI5OTQiLCJ1c2VySWQiOiIyNDczOTAyMDIxMjU0In0=</vt:lpwstr>
  </property>
  <property fmtid="{D5CDD505-2E9C-101B-9397-08002B2CF9AE}" pid="3" name="KSOProductBuildVer">
    <vt:lpwstr>3082-12.1.0.29162</vt:lpwstr>
  </property>
  <property fmtid="{D5CDD505-2E9C-101B-9397-08002B2CF9AE}" pid="4" name="ICV">
    <vt:lpwstr>F30DA28C874F4177890A0730C7EDD8D6_13</vt:lpwstr>
  </property>
</Properties>
</file>