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outlineLvl w:val="0"/>
        <w:rPr>
          <w:rFonts w:ascii="Century Gothic" w:hAnsi="Century Gothic"/>
          <w:b/>
          <w:color w:val="808080" w:themeColor="background1" w:themeShade="80"/>
          <w:sz w:val="36"/>
          <w:szCs w:val="44"/>
        </w:rPr>
      </w:pPr>
      <w:r>
        <w:rPr>
          <w:rFonts w:ascii="Century Gothic" w:hAnsi="Century Gothic"/>
          <w:b/>
          <w:color w:val="808080" w:themeColor="background1" w:themeShade="80"/>
          <w:sz w:val="3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5219700</wp:posOffset>
                </wp:positionH>
                <wp:positionV relativeFrom="paragraph">
                  <wp:posOffset>-236220</wp:posOffset>
                </wp:positionV>
                <wp:extent cx="2044700" cy="360604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9717712" name="Picture 1">
                          <a:hlinkClick r:id="rId15"/>
                        </pic:cNvPr>
                        <pic:cNvPicPr/>
                        <pic:nvPr/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4700" cy="3606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8240;o:allowoverlap:true;o:allowincell:true;mso-position-horizontal-relative:text;margin-left:411.00pt;mso-position-horizontal:absolute;mso-position-vertical-relative:text;margin-top:-18.60pt;mso-position-vertical:absolute;width:161.00pt;height:28.39pt;mso-wrap-distance-left:9.00pt;mso-wrap-distance-top:0.00pt;mso-wrap-distance-right:9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  <w:t xml:space="preserve">PLANTILLA DE DOCUMENTACIÓN DEL PROYECTO</w:t>
      </w:r>
    </w:p>
    <w:p>
      <w:pPr>
        <w:rPr>
          <w:rFonts w:ascii="Century Gothic" w:hAnsi="Century Gothic" w:cs="Arial"/>
          <w:b/>
          <w:color w:val="000000" w:themeColor="text1"/>
          <w:szCs w:val="36"/>
        </w:rPr>
      </w:pPr>
    </w:p>
    <w:tbl>
      <w:tblPr>
        <w:tblW w:w="10885" w:type="dxa"/>
        <w:tblBorders>
          <w:top w:val="single" w:color="bfbfbf" w:sz="4" w:space="0"/>
          <w:left w:val="single" w:color="bfbfbf" w:sz="4" w:space="0"/>
          <w:bottom w:val="single" w:color="bfbfbf" w:themeColor="background1" w:themeShade="BF" w:sz="18" w:space="0"/>
          <w:right w:val="single" w:color="bfbfbf" w:themeColor="background1" w:themeShade="BF" w:sz="18" w:space="0"/>
          <w:insideH w:val="single" w:color="bfbfbf" w:sz="4" w:space="0"/>
          <w:insideV w:val="single" w:color="bfbfbf" w:sz="4" w:space="0"/>
        </w:tblBorders>
        <w:tblLook w:val="04A0" w:firstRow="1" w:lastRow="0" w:firstColumn="1" w:lastColumn="0" w:noHBand="0" w:noVBand="1"/>
      </w:tblPr>
      <w:tblGrid>
        <w:gridCol w:w="1667"/>
        <w:gridCol w:w="1589"/>
        <w:gridCol w:w="3260"/>
        <w:gridCol w:w="1957"/>
        <w:gridCol w:w="1065"/>
        <w:gridCol w:w="1347"/>
      </w:tblGrid>
      <w:tr>
        <w:trPr>
          <w:trHeight w:val="576"/>
        </w:trPr>
        <w:tc>
          <w:tcPr>
            <w:tcW w:w="1667" w:type="dxa"/>
            <w:shd w:val="clear" w:color="000000" w:fill="222b35"/>
            <w:vAlign w:val="center"/>
            <w:hideMark/>
          </w:tcPr>
          <w:p>
            <w:pPr>
              <w:rPr>
                <w:rFonts w:ascii="Century Gothic" w:hAnsi="Century Gothic" w:cs="Calibri"/>
                <w:b/>
                <w:bCs/>
                <w:color w:val="ffffff"/>
                <w:szCs w:val="16"/>
              </w:rPr>
            </w:pPr>
            <w:r>
              <w:rPr>
                <w:rFonts w:ascii="Century Gothic" w:hAnsi="Century Gothic"/>
                <w:b/>
                <w:color w:val="ffffff"/>
              </w:rPr>
              <w:t xml:space="preserve">FASE DEL PROYECTO</w:t>
            </w:r>
          </w:p>
        </w:tc>
        <w:tc>
          <w:tcPr>
            <w:tcW w:w="1589" w:type="dxa"/>
            <w:shd w:val="clear" w:color="000000" w:fill="222b35"/>
            <w:vAlign w:val="center"/>
            <w:hideMark/>
          </w:tcPr>
          <w:p>
            <w:pPr>
              <w:rPr>
                <w:rFonts w:ascii="Century Gothic" w:hAnsi="Century Gothic" w:cs="Calibri"/>
                <w:b/>
                <w:bCs/>
                <w:color w:val="ffffff"/>
                <w:szCs w:val="16"/>
              </w:rPr>
            </w:pPr>
            <w:r>
              <w:rPr>
                <w:rFonts w:ascii="Century Gothic" w:hAnsi="Century Gothic"/>
                <w:b/>
                <w:color w:val="ffffff"/>
              </w:rPr>
              <w:t xml:space="preserve">NOMBRE DEL DOCUMENTO</w:t>
            </w:r>
          </w:p>
        </w:tc>
        <w:tc>
          <w:tcPr>
            <w:tcW w:w="3260" w:type="dxa"/>
            <w:shd w:val="clear" w:color="000000" w:fill="222b35"/>
            <w:vAlign w:val="center"/>
            <w:hideMark/>
          </w:tcPr>
          <w:p>
            <w:pPr>
              <w:rPr>
                <w:rFonts w:ascii="Century Gothic" w:hAnsi="Century Gothic" w:cs="Calibri"/>
                <w:b/>
                <w:bCs/>
                <w:color w:val="ffffff"/>
                <w:szCs w:val="16"/>
              </w:rPr>
            </w:pPr>
            <w:r>
              <w:rPr>
                <w:rFonts w:ascii="Century Gothic" w:hAnsi="Century Gothic"/>
                <w:b/>
                <w:color w:val="ffffff"/>
              </w:rPr>
              <w:t xml:space="preserve">DESCRIPCIÓN DE LA </w:t>
            </w:r>
            <w:r>
              <w:rPr>
                <w:rFonts w:ascii="Century Gothic" w:hAnsi="Century Gothic"/>
                <w:b/>
                <w:bCs/>
                <w:color w:val="ffffff"/>
                <w:szCs w:val="16"/>
              </w:rPr>
              <w:br/>
            </w:r>
            <w:r>
              <w:rPr>
                <w:rFonts w:ascii="Century Gothic" w:hAnsi="Century Gothic"/>
                <w:b/>
                <w:color w:val="ffffff"/>
              </w:rPr>
              <w:t xml:space="preserve">DOCUMENTACIÓN</w:t>
            </w:r>
          </w:p>
        </w:tc>
        <w:tc>
          <w:tcPr>
            <w:tcW w:w="1957" w:type="dxa"/>
            <w:shd w:val="clear" w:color="000000" w:fill="222b35"/>
            <w:vAlign w:val="center"/>
            <w:hideMark/>
          </w:tcPr>
          <w:p>
            <w:pPr>
              <w:rPr>
                <w:rFonts w:ascii="Century Gothic" w:hAnsi="Century Gothic" w:cs="Calibri"/>
                <w:b/>
                <w:bCs/>
                <w:color w:val="ffffff"/>
                <w:szCs w:val="16"/>
              </w:rPr>
            </w:pPr>
            <w:r>
              <w:rPr>
                <w:rFonts w:ascii="Century Gothic" w:hAnsi="Century Gothic"/>
                <w:b/>
                <w:color w:val="ffffff"/>
              </w:rPr>
              <w:t xml:space="preserve">RESPONSABLE</w:t>
            </w:r>
          </w:p>
        </w:tc>
        <w:tc>
          <w:tcPr>
            <w:tcW w:w="1065" w:type="dxa"/>
            <w:shd w:val="clear" w:color="000000" w:fill="333f4f"/>
            <w:vAlign w:val="center"/>
            <w:hideMark/>
          </w:tcPr>
          <w:p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Cs w:val="16"/>
              </w:rPr>
            </w:pPr>
            <w:r>
              <w:rPr>
                <w:rFonts w:ascii="Century Gothic" w:hAnsi="Century Gothic"/>
                <w:b/>
                <w:color w:val="ffffff"/>
              </w:rPr>
              <w:t xml:space="preserve">VERSIÓN</w:t>
            </w:r>
          </w:p>
        </w:tc>
        <w:tc>
          <w:tcPr>
            <w:tcW w:w="1347" w:type="dxa"/>
            <w:shd w:val="clear" w:color="000000" w:fill="44546a"/>
            <w:vAlign w:val="center"/>
            <w:hideMark/>
          </w:tcPr>
          <w:p>
            <w:pPr>
              <w:jc w:val="center"/>
              <w:rPr>
                <w:rFonts w:ascii="Century Gothic" w:hAnsi="Century Gothic" w:cs="Calibri"/>
                <w:b/>
                <w:bCs/>
                <w:color w:val="ffffff"/>
                <w:szCs w:val="16"/>
              </w:rPr>
            </w:pPr>
            <w:r>
              <w:rPr>
                <w:rFonts w:ascii="Century Gothic" w:hAnsi="Century Gothic"/>
                <w:b/>
                <w:color w:val="ffffff"/>
              </w:rPr>
              <w:t xml:space="preserve">FECHA DE FINALIZACIÓN</w:t>
            </w:r>
          </w:p>
        </w:tc>
      </w:tr>
      <w:tr>
        <w:trPr>
          <w:trHeight w:val="1080"/>
        </w:trPr>
        <w:tc>
          <w:tcPr>
            <w:tcW w:w="1667" w:type="dxa"/>
            <w:shd w:val="clear" w:color="auto" w:fill="auto"/>
            <w:vAlign w:val="center"/>
            <w:hideMark/>
          </w:tcPr>
          <w:p>
            <w:pPr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Previo a la iniciación</w:t>
            </w:r>
          </w:p>
        </w:tc>
        <w:tc>
          <w:tcPr>
            <w:tcW w:w="1589" w:type="dxa"/>
            <w:shd w:val="clear" w:color="000000" w:fill="ffffff"/>
            <w:vAlign w:val="center"/>
            <w:hideMark/>
          </w:tcPr>
          <w:p>
            <w:pPr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Caso de </w:t>
            </w:r>
            <w:r>
              <w:rPr>
                <w:rFonts w:ascii="Century Gothic" w:hAnsi="Century Gothic"/>
                <w:color w:val="000000"/>
                <w:sz w:val="18"/>
                <w:szCs w:val="18"/>
              </w:rPr>
              <w:br/>
            </w:r>
            <w:r>
              <w:rPr>
                <w:rFonts w:ascii="Century Gothic" w:hAnsi="Century Gothic"/>
                <w:color w:val="000000"/>
                <w:sz w:val="18"/>
              </w:rPr>
              <w:t xml:space="preserve">negocio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>
            <w:pPr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Detalla las necesidades de la empresa y otra información pertinente para determinar si el proyecto vale la inversión requerida o no.</w:t>
            </w:r>
          </w:p>
        </w:tc>
        <w:tc>
          <w:tcPr>
            <w:tcW w:w="1957" w:type="dxa"/>
            <w:shd w:val="clear" w:color="000000" w:fill="f2f2f2"/>
            <w:vAlign w:val="center"/>
            <w:hideMark/>
          </w:tcPr>
          <w:p>
            <w:pPr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N/A – Proyecto académico (SCD-1011)</w:t>
            </w:r>
          </w:p>
        </w:tc>
        <w:tc>
          <w:tcPr>
            <w:tcW w:w="1065" w:type="dxa"/>
            <w:shd w:val="clear" w:color="000000" w:fill="eaeef3"/>
            <w:vAlign w:val="center"/>
            <w:hideMark/>
          </w:tcPr>
          <w:p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N/A</w:t>
            </w:r>
          </w:p>
        </w:tc>
        <w:tc>
          <w:tcPr>
            <w:tcW w:w="1347" w:type="dxa"/>
            <w:shd w:val="clear" w:color="auto" w:fill="auto"/>
            <w:vAlign w:val="center"/>
          </w:tcPr>
          <w:p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N/A</w:t>
            </w:r>
          </w:p>
        </w:tc>
      </w:tr>
      <w:tr>
        <w:trPr>
          <w:trHeight w:val="1296"/>
        </w:trPr>
        <w:tc>
          <w:tcPr>
            <w:tcW w:w="1667" w:type="dxa"/>
            <w:shd w:val="clear" w:color="auto" w:fill="auto"/>
            <w:vAlign w:val="center"/>
            <w:hideMark/>
          </w:tcPr>
          <w:p>
            <w:pPr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1.0 Iniciación</w:t>
            </w:r>
          </w:p>
        </w:tc>
        <w:tc>
          <w:tcPr>
            <w:tcW w:w="1589" w:type="dxa"/>
            <w:shd w:val="clear" w:color="000000" w:fill="ffffff"/>
            <w:vAlign w:val="center"/>
            <w:hideMark/>
          </w:tcPr>
          <w:p>
            <w:pPr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Acta del proyecto 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>
            <w:pPr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Autoriza el proyecto y permite la asignación de recursos. El proceso de constitución determina los miembros clave del proyecto y pone en marcha formalmente el proyecto.</w:t>
            </w:r>
          </w:p>
        </w:tc>
        <w:tc>
          <w:tcPr>
            <w:tcW w:w="1957" w:type="dxa"/>
            <w:shd w:val="clear" w:color="000000" w:fill="f2f2f2"/>
            <w:vAlign w:val="center"/>
            <w:hideMark/>
          </w:tcPr>
          <w:p>
            <w:pPr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Silva López Irving Javier</w:t>
            </w:r>
          </w:p>
        </w:tc>
        <w:tc>
          <w:tcPr>
            <w:tcW w:w="1065" w:type="dxa"/>
            <w:shd w:val="clear" w:color="000000" w:fill="eaeef3"/>
            <w:vAlign w:val="center"/>
            <w:hideMark/>
          </w:tcPr>
          <w:p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1.0</w:t>
            </w:r>
          </w:p>
        </w:tc>
        <w:tc>
          <w:tcPr>
            <w:tcW w:w="1347" w:type="dxa"/>
            <w:shd w:val="clear" w:color="auto" w:fill="auto"/>
            <w:vAlign w:val="center"/>
            <w:hideMark/>
          </w:tcPr>
          <w:p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07/04/2026</w:t>
            </w:r>
          </w:p>
        </w:tc>
      </w:tr>
      <w:tr>
        <w:trPr>
          <w:trHeight w:val="864"/>
        </w:trPr>
        <w:tc>
          <w:tcPr>
            <w:tcW w:w="1667" w:type="dxa"/>
            <w:shd w:val="clear" w:color="auto" w:fill="auto"/>
            <w:vAlign w:val="center"/>
            <w:hideMark/>
          </w:tcPr>
          <w:p>
            <w:pPr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2.0 Planificación</w:t>
            </w:r>
          </w:p>
        </w:tc>
        <w:tc>
          <w:tcPr>
            <w:tcW w:w="1589" w:type="dxa"/>
            <w:shd w:val="clear" w:color="000000" w:fill="ffffff"/>
            <w:vAlign w:val="center"/>
            <w:hideMark/>
          </w:tcPr>
          <w:p>
            <w:pPr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Plan de gestión del proyecto 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>
            <w:pPr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Ayuda a definir cómo se llevará a cabo el proyecto de principio a fin.</w:t>
            </w:r>
          </w:p>
        </w:tc>
        <w:tc>
          <w:tcPr>
            <w:tcW w:w="1957" w:type="dxa"/>
            <w:shd w:val="clear" w:color="000000" w:fill="f2f2f2"/>
            <w:vAlign w:val="center"/>
            <w:hideMark/>
          </w:tcPr>
          <w:p>
            <w:pPr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Silva López Irving Javier</w:t>
            </w:r>
          </w:p>
        </w:tc>
        <w:tc>
          <w:tcPr>
            <w:tcW w:w="1065" w:type="dxa"/>
            <w:shd w:val="clear" w:color="000000" w:fill="eaeef3"/>
            <w:vAlign w:val="center"/>
            <w:hideMark/>
          </w:tcPr>
          <w:p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0.91</w:t>
            </w:r>
          </w:p>
        </w:tc>
        <w:tc>
          <w:tcPr>
            <w:tcW w:w="1347" w:type="dxa"/>
            <w:shd w:val="clear" w:color="auto" w:fill="auto"/>
            <w:vAlign w:val="center"/>
            <w:hideMark/>
          </w:tcPr>
          <w:p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15/04/2026</w:t>
            </w:r>
          </w:p>
        </w:tc>
      </w:tr>
      <w:tr>
        <w:trPr>
          <w:trHeight w:val="864"/>
        </w:trPr>
        <w:tc>
          <w:tcPr>
            <w:tcW w:w="1667" w:type="dxa"/>
            <w:shd w:val="clear" w:color="auto" w:fill="auto"/>
            <w:vAlign w:val="center"/>
            <w:hideMark/>
          </w:tcPr>
          <w:p>
            <w:pPr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2.0 Planificación</w:t>
            </w:r>
          </w:p>
        </w:tc>
        <w:tc>
          <w:tcPr>
            <w:tcW w:w="1589" w:type="dxa"/>
            <w:shd w:val="clear" w:color="auto" w:fill="auto"/>
            <w:vAlign w:val="center"/>
            <w:hideMark/>
          </w:tcPr>
          <w:p>
            <w:pPr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Cronograma del proyecto 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>
            <w:pPr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Ayuda a las partes interesadas a planificar y dar seguimiento a las tareas, los hitos y las fechas clave del proyecto.</w:t>
            </w:r>
          </w:p>
        </w:tc>
        <w:tc>
          <w:tcPr>
            <w:tcW w:w="1957" w:type="dxa"/>
            <w:shd w:val="clear" w:color="000000" w:fill="f2f2f2"/>
            <w:vAlign w:val="center"/>
            <w:hideMark/>
          </w:tcPr>
          <w:p>
            <w:pPr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Silva López Irving Javier</w:t>
            </w:r>
          </w:p>
        </w:tc>
        <w:tc>
          <w:tcPr>
            <w:tcW w:w="1065" w:type="dxa"/>
            <w:shd w:val="clear" w:color="000000" w:fill="eaeef3"/>
            <w:vAlign w:val="center"/>
            <w:hideMark/>
          </w:tcPr>
          <w:p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1.0</w:t>
            </w:r>
          </w:p>
        </w:tc>
        <w:tc>
          <w:tcPr>
            <w:tcW w:w="1347" w:type="dxa"/>
            <w:shd w:val="clear" w:color="auto" w:fill="auto"/>
            <w:vAlign w:val="center"/>
            <w:hideMark/>
          </w:tcPr>
          <w:p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15/04/2026</w:t>
            </w:r>
          </w:p>
        </w:tc>
      </w:tr>
      <w:tr>
        <w:trPr>
          <w:trHeight w:val="1008"/>
        </w:trPr>
        <w:tc>
          <w:tcPr>
            <w:tcW w:w="1667" w:type="dxa"/>
            <w:shd w:val="clear" w:color="auto" w:fill="auto"/>
            <w:vAlign w:val="center"/>
            <w:hideMark/>
          </w:tcPr>
          <w:p>
            <w:pPr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2.0 Planificación</w:t>
            </w:r>
          </w:p>
        </w:tc>
        <w:tc>
          <w:tcPr>
            <w:tcW w:w="1589" w:type="dxa"/>
            <w:shd w:val="clear" w:color="000000" w:fill="ffffff"/>
            <w:vAlign w:val="center"/>
            <w:hideMark/>
          </w:tcPr>
          <w:p>
            <w:pPr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Documento de requisitos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>
            <w:pPr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Define los requisitos particulares de un proyecto o producto que deben cumplirse para satisfacer los objetivos de la empresa.</w:t>
            </w:r>
          </w:p>
        </w:tc>
        <w:tc>
          <w:tcPr>
            <w:tcW w:w="1957" w:type="dxa"/>
            <w:shd w:val="clear" w:color="000000" w:fill="f2f2f2"/>
            <w:vAlign w:val="center"/>
            <w:hideMark/>
          </w:tcPr>
          <w:p>
            <w:pPr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Soto Trejo Ángel</w:t>
            </w:r>
          </w:p>
        </w:tc>
        <w:tc>
          <w:tcPr>
            <w:tcW w:w="1065" w:type="dxa"/>
            <w:shd w:val="clear" w:color="000000" w:fill="eaeef3"/>
            <w:vAlign w:val="center"/>
            <w:hideMark/>
          </w:tcPr>
          <w:p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1.1</w:t>
            </w:r>
          </w:p>
        </w:tc>
        <w:tc>
          <w:tcPr>
            <w:tcW w:w="1347" w:type="dxa"/>
            <w:shd w:val="clear" w:color="auto" w:fill="auto"/>
            <w:vAlign w:val="center"/>
            <w:hideMark/>
          </w:tcPr>
          <w:p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12/04/2026</w:t>
            </w:r>
          </w:p>
        </w:tc>
      </w:tr>
      <w:tr>
        <w:trPr>
          <w:trHeight w:val="792"/>
        </w:trPr>
        <w:tc>
          <w:tcPr>
            <w:tcW w:w="1667" w:type="dxa"/>
            <w:shd w:val="clear" w:color="auto" w:fill="auto"/>
            <w:vAlign w:val="center"/>
            <w:hideMark/>
          </w:tcPr>
          <w:p>
            <w:pPr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2.0 Planificación</w:t>
            </w:r>
          </w:p>
        </w:tc>
        <w:tc>
          <w:tcPr>
            <w:tcW w:w="1589" w:type="dxa"/>
            <w:shd w:val="clear" w:color="000000" w:fill="ffffff"/>
            <w:vAlign w:val="center"/>
            <w:hideMark/>
          </w:tcPr>
          <w:p>
            <w:pPr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Cronograma de hitos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>
            <w:pPr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Una ilustración visual del cronograma de los principales hitos y entregas del proyecto.</w:t>
            </w:r>
          </w:p>
        </w:tc>
        <w:tc>
          <w:tcPr>
            <w:tcW w:w="1957" w:type="dxa"/>
            <w:shd w:val="clear" w:color="000000" w:fill="f2f2f2"/>
            <w:vAlign w:val="center"/>
            <w:hideMark/>
          </w:tcPr>
          <w:p>
            <w:pPr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Silva López Irving Javier</w:t>
            </w:r>
          </w:p>
        </w:tc>
        <w:tc>
          <w:tcPr>
            <w:tcW w:w="1065" w:type="dxa"/>
            <w:shd w:val="clear" w:color="000000" w:fill="eaeef3"/>
            <w:vAlign w:val="center"/>
            <w:hideMark/>
          </w:tcPr>
          <w:p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1.0</w:t>
            </w:r>
          </w:p>
        </w:tc>
        <w:tc>
          <w:tcPr>
            <w:tcW w:w="1347" w:type="dxa"/>
            <w:shd w:val="clear" w:color="auto" w:fill="auto"/>
            <w:vAlign w:val="center"/>
            <w:hideMark/>
          </w:tcPr>
          <w:p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15/04/2026</w:t>
            </w:r>
          </w:p>
        </w:tc>
      </w:tr>
      <w:tr>
        <w:trPr>
          <w:trHeight w:val="1296"/>
        </w:trPr>
        <w:tc>
          <w:tcPr>
            <w:tcW w:w="1667" w:type="dxa"/>
            <w:shd w:val="clear" w:color="auto" w:fill="auto"/>
            <w:vAlign w:val="center"/>
            <w:hideMark/>
          </w:tcPr>
          <w:p>
            <w:pPr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3.0 Supervisión </w:t>
            </w:r>
            <w:r>
              <w:rPr>
                <w:rFonts w:ascii="Century Gothic" w:hAnsi="Century Gothic"/>
                <w:color w:val="000000"/>
                <w:sz w:val="18"/>
                <w:szCs w:val="18"/>
              </w:rPr>
              <w:br/>
            </w:r>
            <w:r>
              <w:rPr>
                <w:rFonts w:ascii="Century Gothic" w:hAnsi="Century Gothic"/>
                <w:color w:val="000000"/>
                <w:sz w:val="18"/>
              </w:rPr>
              <w:t xml:space="preserve">y control</w:t>
            </w:r>
          </w:p>
        </w:tc>
        <w:tc>
          <w:tcPr>
            <w:tcW w:w="1589" w:type="dxa"/>
            <w:shd w:val="clear" w:color="000000" w:fill="ffffff"/>
            <w:vAlign w:val="center"/>
            <w:hideMark/>
          </w:tcPr>
          <w:p>
            <w:pPr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Registro del </w:t>
            </w:r>
            <w:r>
              <w:rPr>
                <w:rFonts w:ascii="Century Gothic" w:hAnsi="Century Gothic"/>
                <w:color w:val="000000"/>
                <w:sz w:val="18"/>
                <w:szCs w:val="18"/>
              </w:rPr>
              <w:br/>
            </w:r>
            <w:r>
              <w:rPr>
                <w:rFonts w:ascii="Century Gothic" w:hAnsi="Century Gothic"/>
                <w:color w:val="000000"/>
                <w:sz w:val="18"/>
              </w:rPr>
              <w:t xml:space="preserve">proyecto 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>
            <w:pPr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Captura y realiza un seguimiento de la información esencial del proyecto, facilitando la gestión de los elementos del proyecto durante el mismo.</w:t>
            </w:r>
          </w:p>
        </w:tc>
        <w:tc>
          <w:tcPr>
            <w:tcW w:w="1957" w:type="dxa"/>
            <w:shd w:val="clear" w:color="000000" w:fill="f2f2f2"/>
            <w:vAlign w:val="center"/>
            <w:hideMark/>
          </w:tcPr>
          <w:p>
            <w:pPr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Silva López Irving Javier</w:t>
            </w:r>
          </w:p>
        </w:tc>
        <w:tc>
          <w:tcPr>
            <w:tcW w:w="1065" w:type="dxa"/>
            <w:shd w:val="clear" w:color="000000" w:fill="eaeef3"/>
            <w:vAlign w:val="center"/>
            <w:hideMark/>
          </w:tcPr>
          <w:p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1.0</w:t>
            </w:r>
          </w:p>
        </w:tc>
        <w:tc>
          <w:tcPr>
            <w:tcW w:w="1347" w:type="dxa"/>
            <w:shd w:val="clear" w:color="auto" w:fill="auto"/>
            <w:vAlign w:val="center"/>
            <w:hideMark/>
          </w:tcPr>
          <w:p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21/04/2026</w:t>
            </w:r>
          </w:p>
        </w:tc>
      </w:tr>
      <w:tr>
        <w:trPr>
          <w:trHeight w:val="792"/>
        </w:trPr>
        <w:tc>
          <w:tcPr>
            <w:tcW w:w="1667" w:type="dxa"/>
            <w:shd w:val="clear" w:color="auto" w:fill="auto"/>
            <w:vAlign w:val="center"/>
            <w:hideMark/>
          </w:tcPr>
          <w:p>
            <w:pPr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3.0 Supervisión </w:t>
            </w:r>
            <w:r>
              <w:rPr>
                <w:rFonts w:ascii="Century Gothic" w:hAnsi="Century Gothic"/>
                <w:color w:val="000000"/>
                <w:sz w:val="18"/>
                <w:szCs w:val="18"/>
              </w:rPr>
              <w:br/>
            </w:r>
            <w:r>
              <w:rPr>
                <w:rFonts w:ascii="Century Gothic" w:hAnsi="Century Gothic"/>
                <w:color w:val="000000"/>
                <w:sz w:val="18"/>
              </w:rPr>
              <w:t xml:space="preserve">y control</w:t>
            </w:r>
          </w:p>
        </w:tc>
        <w:tc>
          <w:tcPr>
            <w:tcW w:w="1589" w:type="dxa"/>
            <w:shd w:val="clear" w:color="000000" w:fill="ffffff"/>
            <w:vAlign w:val="center"/>
            <w:hideMark/>
          </w:tcPr>
          <w:p>
            <w:pPr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Minutas </w:t>
            </w:r>
            <w:r>
              <w:rPr>
                <w:rFonts w:ascii="Century Gothic" w:hAnsi="Century Gothic"/>
                <w:color w:val="000000"/>
                <w:sz w:val="18"/>
                <w:szCs w:val="18"/>
              </w:rPr>
              <w:br/>
            </w:r>
            <w:r>
              <w:rPr>
                <w:rFonts w:ascii="Century Gothic" w:hAnsi="Century Gothic"/>
                <w:color w:val="000000"/>
                <w:sz w:val="18"/>
              </w:rPr>
              <w:t xml:space="preserve">del proyecto</w:t>
            </w:r>
            <w:r>
              <w:rPr>
                <w:rFonts w:ascii="Century Gothic" w:hAnsi="Century Gothic"/>
                <w:color w:val="000000"/>
                <w:sz w:val="18"/>
                <w:szCs w:val="18"/>
              </w:rPr>
              <w:br/>
            </w:r>
            <w:r>
              <w:rPr>
                <w:rFonts w:ascii="Century Gothic" w:hAnsi="Century Gothic"/>
                <w:color w:val="000000"/>
                <w:sz w:val="18"/>
              </w:rPr>
              <w:t xml:space="preserve"> 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>
            <w:pPr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Registra las notas de todas las minutas del proyecto.</w:t>
            </w:r>
          </w:p>
        </w:tc>
        <w:tc>
          <w:tcPr>
            <w:tcW w:w="1957" w:type="dxa"/>
            <w:shd w:val="clear" w:color="000000" w:fill="f2f2f2"/>
            <w:vAlign w:val="center"/>
            <w:hideMark/>
          </w:tcPr>
          <w:p>
            <w:pPr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Soto Trejo Ángel</w:t>
            </w:r>
          </w:p>
        </w:tc>
        <w:tc>
          <w:tcPr>
            <w:tcW w:w="1065" w:type="dxa"/>
            <w:shd w:val="clear" w:color="000000" w:fill="eaeef3"/>
            <w:vAlign w:val="center"/>
            <w:hideMark/>
          </w:tcPr>
          <w:p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1.0</w:t>
            </w:r>
          </w:p>
        </w:tc>
        <w:tc>
          <w:tcPr>
            <w:tcW w:w="1347" w:type="dxa"/>
            <w:shd w:val="clear" w:color="auto" w:fill="auto"/>
            <w:vAlign w:val="center"/>
            <w:hideMark/>
          </w:tcPr>
          <w:p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21/04/2026</w:t>
            </w:r>
          </w:p>
        </w:tc>
      </w:tr>
      <w:tr>
        <w:trPr>
          <w:trHeight w:val="792"/>
        </w:trPr>
        <w:tc>
          <w:tcPr>
            <w:tcW w:w="1667" w:type="dxa"/>
            <w:shd w:val="clear" w:color="auto" w:fill="auto"/>
            <w:vAlign w:val="center"/>
            <w:hideMark/>
          </w:tcPr>
          <w:p>
            <w:pPr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3.0 Supervisión </w:t>
            </w:r>
            <w:r>
              <w:rPr>
                <w:rFonts w:ascii="Century Gothic" w:hAnsi="Century Gothic"/>
                <w:color w:val="000000"/>
                <w:sz w:val="18"/>
                <w:szCs w:val="18"/>
              </w:rPr>
              <w:br/>
            </w:r>
            <w:r>
              <w:rPr>
                <w:rFonts w:ascii="Century Gothic" w:hAnsi="Century Gothic"/>
                <w:color w:val="000000"/>
                <w:sz w:val="18"/>
              </w:rPr>
              <w:t xml:space="preserve">y control</w:t>
            </w:r>
          </w:p>
        </w:tc>
        <w:tc>
          <w:tcPr>
            <w:tcW w:w="1589" w:type="dxa"/>
            <w:shd w:val="clear" w:color="000000" w:fill="ffffff"/>
            <w:vAlign w:val="center"/>
            <w:hideMark/>
          </w:tcPr>
          <w:p>
            <w:pPr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Informe </w:t>
            </w:r>
            <w:r>
              <w:rPr>
                <w:rFonts w:ascii="Century Gothic" w:hAnsi="Century Gothic"/>
                <w:color w:val="000000"/>
                <w:sz w:val="18"/>
                <w:szCs w:val="18"/>
              </w:rPr>
              <w:br/>
            </w:r>
            <w:r>
              <w:rPr>
                <w:rFonts w:ascii="Century Gothic" w:hAnsi="Century Gothic"/>
                <w:color w:val="000000"/>
                <w:sz w:val="18"/>
              </w:rPr>
              <w:t xml:space="preserve">de estado </w:t>
            </w:r>
            <w:r>
              <w:rPr>
                <w:rFonts w:ascii="Century Gothic" w:hAnsi="Century Gothic"/>
                <w:color w:val="000000"/>
                <w:sz w:val="18"/>
                <w:szCs w:val="18"/>
              </w:rPr>
              <w:br/>
            </w:r>
            <w:r>
              <w:rPr>
                <w:rFonts w:ascii="Century Gothic" w:hAnsi="Century Gothic"/>
                <w:color w:val="000000"/>
                <w:sz w:val="18"/>
              </w:rPr>
              <w:t xml:space="preserve">del proyecto 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>
            <w:pPr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Comunica el estado general del proyecto a los miembros y a las partes interesadas clave del equipo.</w:t>
            </w:r>
          </w:p>
        </w:tc>
        <w:tc>
          <w:tcPr>
            <w:tcW w:w="1957" w:type="dxa"/>
            <w:shd w:val="clear" w:color="000000" w:fill="f2f2f2"/>
            <w:vAlign w:val="center"/>
            <w:hideMark/>
          </w:tcPr>
          <w:p>
            <w:pPr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Silva López Irving Javier</w:t>
            </w:r>
          </w:p>
        </w:tc>
        <w:tc>
          <w:tcPr>
            <w:tcW w:w="1065" w:type="dxa"/>
            <w:shd w:val="clear" w:color="000000" w:fill="eaeef3"/>
            <w:vAlign w:val="center"/>
            <w:hideMark/>
          </w:tcPr>
          <w:p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1.0</w:t>
            </w:r>
          </w:p>
        </w:tc>
        <w:tc>
          <w:tcPr>
            <w:tcW w:w="1347" w:type="dxa"/>
            <w:shd w:val="clear" w:color="auto" w:fill="auto"/>
            <w:vAlign w:val="center"/>
            <w:hideMark/>
          </w:tcPr>
          <w:p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15/05/2026</w:t>
            </w:r>
          </w:p>
        </w:tc>
      </w:tr>
      <w:tr>
        <w:trPr>
          <w:trHeight w:val="1080"/>
        </w:trPr>
        <w:tc>
          <w:tcPr>
            <w:tcW w:w="1667" w:type="dxa"/>
            <w:shd w:val="clear" w:color="auto" w:fill="auto"/>
            <w:vAlign w:val="center"/>
            <w:hideMark/>
          </w:tcPr>
          <w:p>
            <w:pPr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3.0 Supervisión </w:t>
            </w:r>
            <w:r>
              <w:rPr>
                <w:rFonts w:ascii="Century Gothic" w:hAnsi="Century Gothic"/>
                <w:color w:val="000000"/>
                <w:sz w:val="18"/>
                <w:szCs w:val="18"/>
              </w:rPr>
              <w:br/>
            </w:r>
            <w:r>
              <w:rPr>
                <w:rFonts w:ascii="Century Gothic" w:hAnsi="Century Gothic"/>
                <w:color w:val="000000"/>
                <w:sz w:val="18"/>
              </w:rPr>
              <w:t xml:space="preserve">y control</w:t>
            </w:r>
          </w:p>
        </w:tc>
        <w:tc>
          <w:tcPr>
            <w:tcW w:w="1589" w:type="dxa"/>
            <w:shd w:val="clear" w:color="000000" w:fill="ffffff"/>
            <w:vAlign w:val="center"/>
            <w:hideMark/>
          </w:tcPr>
          <w:p>
            <w:pPr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Solicitud de </w:t>
            </w:r>
            <w:r>
              <w:rPr>
                <w:rFonts w:ascii="Century Gothic" w:hAnsi="Century Gothic"/>
                <w:color w:val="000000"/>
                <w:sz w:val="18"/>
                <w:szCs w:val="18"/>
              </w:rPr>
              <w:br/>
            </w:r>
            <w:r>
              <w:rPr>
                <w:rFonts w:ascii="Century Gothic" w:hAnsi="Century Gothic"/>
                <w:color w:val="000000"/>
                <w:sz w:val="18"/>
              </w:rPr>
              <w:t xml:space="preserve">cambio del proyecto 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>
            <w:pPr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Utilizada por el administrador del proyecto para solicitar cambios en el alcance, los costos, el cronograma, los logros, etc.</w:t>
            </w:r>
          </w:p>
        </w:tc>
        <w:tc>
          <w:tcPr>
            <w:tcW w:w="1957" w:type="dxa"/>
            <w:shd w:val="clear" w:color="000000" w:fill="f2f2f2"/>
            <w:vAlign w:val="center"/>
            <w:hideMark/>
          </w:tcPr>
          <w:p>
            <w:pPr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Silva López Irving Javier</w:t>
            </w:r>
          </w:p>
        </w:tc>
        <w:tc>
          <w:tcPr>
            <w:tcW w:w="1065" w:type="dxa"/>
            <w:shd w:val="clear" w:color="000000" w:fill="eaeef3"/>
            <w:vAlign w:val="center"/>
            <w:hideMark/>
          </w:tcPr>
          <w:p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1.0</w:t>
            </w:r>
          </w:p>
        </w:tc>
        <w:tc>
          <w:tcPr>
            <w:tcW w:w="1347" w:type="dxa"/>
            <w:shd w:val="clear" w:color="auto" w:fill="auto"/>
            <w:vAlign w:val="center"/>
            <w:hideMark/>
          </w:tcPr>
          <w:p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06/05/2026</w:t>
            </w:r>
          </w:p>
        </w:tc>
      </w:tr>
      <w:tr>
        <w:trPr>
          <w:trHeight w:val="1080"/>
        </w:trPr>
        <w:tc>
          <w:tcPr>
            <w:tcW w:w="1667" w:type="dxa"/>
            <w:shd w:val="clear" w:color="auto" w:fill="auto"/>
            <w:vAlign w:val="center"/>
            <w:hideMark/>
          </w:tcPr>
          <w:p>
            <w:pPr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3.0 Supervisión </w:t>
            </w:r>
            <w:r>
              <w:rPr>
                <w:rFonts w:ascii="Century Gothic" w:hAnsi="Century Gothic"/>
                <w:color w:val="000000"/>
                <w:sz w:val="18"/>
                <w:szCs w:val="18"/>
              </w:rPr>
              <w:br/>
            </w:r>
            <w:r>
              <w:rPr>
                <w:rFonts w:ascii="Century Gothic" w:hAnsi="Century Gothic"/>
                <w:color w:val="000000"/>
                <w:sz w:val="18"/>
              </w:rPr>
              <w:t xml:space="preserve">y control</w:t>
            </w:r>
          </w:p>
        </w:tc>
        <w:tc>
          <w:tcPr>
            <w:tcW w:w="1589" w:type="dxa"/>
            <w:shd w:val="clear" w:color="000000" w:fill="ffffff"/>
            <w:vAlign w:val="center"/>
            <w:hideMark/>
          </w:tcPr>
          <w:p>
            <w:pPr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Documento de prueba del proyecto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>
            <w:pPr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Describe la estrategia, los objetivos y los recursos de pruebas necesarios para las pruebas, la estimación de las pruebas y los resultados de las pruebas.</w:t>
            </w:r>
          </w:p>
        </w:tc>
        <w:tc>
          <w:tcPr>
            <w:tcW w:w="1957" w:type="dxa"/>
            <w:shd w:val="clear" w:color="000000" w:fill="f2f2f2"/>
            <w:vAlign w:val="center"/>
            <w:hideMark/>
          </w:tcPr>
          <w:p>
            <w:pPr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Morales Martínez Adrián</w:t>
            </w:r>
          </w:p>
        </w:tc>
        <w:tc>
          <w:tcPr>
            <w:tcW w:w="1065" w:type="dxa"/>
            <w:shd w:val="clear" w:color="000000" w:fill="eaeef3"/>
            <w:vAlign w:val="center"/>
            <w:hideMark/>
          </w:tcPr>
          <w:p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1.0</w:t>
            </w:r>
          </w:p>
        </w:tc>
        <w:tc>
          <w:tcPr>
            <w:tcW w:w="1347" w:type="dxa"/>
            <w:shd w:val="clear" w:color="auto" w:fill="auto"/>
            <w:vAlign w:val="center"/>
            <w:hideMark/>
          </w:tcPr>
          <w:p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05/05/2026</w:t>
            </w:r>
          </w:p>
        </w:tc>
      </w:tr>
      <w:tr>
        <w:trPr>
          <w:trHeight w:val="1296"/>
        </w:trPr>
        <w:tc>
          <w:tcPr>
            <w:tcW w:w="1667" w:type="dxa"/>
            <w:shd w:val="clear" w:color="auto" w:fill="auto"/>
            <w:vAlign w:val="center"/>
            <w:hideMark/>
          </w:tcPr>
          <w:p>
            <w:pPr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4.0 Cierre</w:t>
            </w:r>
          </w:p>
        </w:tc>
        <w:tc>
          <w:tcPr>
            <w:tcW w:w="1589" w:type="dxa"/>
            <w:shd w:val="clear" w:color="000000" w:fill="ffffff"/>
            <w:vAlign w:val="center"/>
            <w:hideMark/>
          </w:tcPr>
          <w:p>
            <w:pPr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Lecciones aprendidas 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>
            <w:pPr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Identifica las lecciones aprendidas en el proyecto por los miembros del equipo y la gerencia para ayudar a los equipos a repetir los resultados deseados y evitar resultados desfavorables.</w:t>
            </w:r>
          </w:p>
        </w:tc>
        <w:tc>
          <w:tcPr>
            <w:tcW w:w="1957" w:type="dxa"/>
            <w:shd w:val="clear" w:color="000000" w:fill="f2f2f2"/>
            <w:vAlign w:val="center"/>
            <w:hideMark/>
          </w:tcPr>
          <w:p>
            <w:pPr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Equipo No. 6 (todos)</w:t>
            </w:r>
          </w:p>
        </w:tc>
        <w:tc>
          <w:tcPr>
            <w:tcW w:w="1065" w:type="dxa"/>
            <w:shd w:val="clear" w:color="000000" w:fill="eaeef3"/>
            <w:vAlign w:val="center"/>
            <w:hideMark/>
          </w:tcPr>
          <w:p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1.0</w:t>
            </w:r>
          </w:p>
        </w:tc>
        <w:tc>
          <w:tcPr>
            <w:tcW w:w="1347" w:type="dxa"/>
            <w:shd w:val="clear" w:color="auto" w:fill="auto"/>
            <w:vAlign w:val="center"/>
            <w:hideMark/>
          </w:tcPr>
          <w:p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30/05/2026</w:t>
            </w:r>
          </w:p>
        </w:tc>
      </w:tr>
      <w:tr>
        <w:trPr>
          <w:trHeight w:val="576"/>
        </w:trPr>
        <w:tc>
          <w:tcPr>
            <w:tcW w:w="1667" w:type="dxa"/>
            <w:shd w:val="clear" w:color="auto" w:fill="auto"/>
            <w:vAlign w:val="center"/>
            <w:hideMark/>
          </w:tcPr>
          <w:p>
            <w:pPr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4.0 Cierre</w:t>
            </w:r>
          </w:p>
        </w:tc>
        <w:tc>
          <w:tcPr>
            <w:tcW w:w="1589" w:type="dxa"/>
            <w:shd w:val="clear" w:color="000000" w:fill="ffffff"/>
            <w:vAlign w:val="center"/>
            <w:hideMark/>
          </w:tcPr>
          <w:p>
            <w:pPr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Cierre del </w:t>
            </w:r>
            <w:r>
              <w:rPr>
                <w:rFonts w:ascii="Century Gothic" w:hAnsi="Century Gothic"/>
                <w:color w:val="000000"/>
                <w:sz w:val="18"/>
                <w:szCs w:val="18"/>
              </w:rPr>
              <w:br/>
            </w:r>
            <w:r>
              <w:rPr>
                <w:rFonts w:ascii="Century Gothic" w:hAnsi="Century Gothic"/>
                <w:color w:val="000000"/>
                <w:sz w:val="18"/>
              </w:rPr>
              <w:t xml:space="preserve">proyecto 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>
            <w:pPr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El documento de cierre del proyecto valida la finalización del proyecto.</w:t>
            </w:r>
          </w:p>
        </w:tc>
        <w:tc>
          <w:tcPr>
            <w:tcW w:w="1957" w:type="dxa"/>
            <w:shd w:val="clear" w:color="000000" w:fill="f2f2f2"/>
            <w:vAlign w:val="center"/>
            <w:hideMark/>
          </w:tcPr>
          <w:p>
            <w:pPr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Silva López Irving Javier</w:t>
            </w:r>
          </w:p>
        </w:tc>
        <w:tc>
          <w:tcPr>
            <w:tcW w:w="1065" w:type="dxa"/>
            <w:shd w:val="clear" w:color="000000" w:fill="eaeef3"/>
            <w:vAlign w:val="center"/>
            <w:hideMark/>
          </w:tcPr>
          <w:p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1.0</w:t>
            </w:r>
          </w:p>
        </w:tc>
        <w:tc>
          <w:tcPr>
            <w:tcW w:w="1347" w:type="dxa"/>
            <w:shd w:val="clear" w:color="auto" w:fill="auto"/>
            <w:vAlign w:val="center"/>
            <w:hideMark/>
          </w:tcPr>
          <w:p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color w:val="000000"/>
                <w:sz w:val="18"/>
              </w:rPr>
              <w:t xml:space="preserve">30/05/2026</w:t>
            </w:r>
          </w:p>
        </w:tc>
      </w:tr>
    </w:tbl>
    <w:p>
      <w:pPr>
        <w:rPr>
          <w:rFonts w:ascii="Century Gothic" w:hAnsi="Century Gothic" w:cs="Arial"/>
          <w:b/>
          <w:color w:val="000000" w:themeColor="text1"/>
          <w:szCs w:val="36"/>
        </w:rPr>
      </w:pPr>
      <w:r>
        <w:rPr>
          <w:rFonts w:ascii="Century Gothic" w:hAnsi="Century Gothic"/>
          <w:b/>
          <w:color w:val="000000" w:themeColor="text1"/>
          <w:szCs w:val="36"/>
        </w:rPr>
        <w:br w:type="page" w:clear="all"/>
      </w:r>
    </w:p>
    <w:p>
      <w:pPr>
        <w:rPr>
          <w:rFonts w:ascii="Century Gothic" w:hAnsi="Century Gothic" w:cs="Arial"/>
          <w:b/>
          <w:color w:val="000000" w:themeColor="text1"/>
          <w:szCs w:val="36"/>
        </w:rPr>
      </w:pPr>
    </w:p>
    <w:p>
      <w:pPr>
        <w:rPr>
          <w:rFonts w:ascii="Century Gothic" w:hAnsi="Century Gothic" w:cs="Arial"/>
          <w:b/>
          <w:color w:val="000000" w:themeColor="text1"/>
          <w:szCs w:val="36"/>
        </w:rPr>
      </w:pPr>
    </w:p>
    <w:p>
      <w:pPr>
        <w:rPr>
          <w:rFonts w:ascii="Century Gothic" w:hAnsi="Century Gothic" w:cs="Arial"/>
          <w:b/>
          <w:color w:val="000000" w:themeColor="text1"/>
          <w:szCs w:val="36"/>
        </w:rPr>
      </w:pPr>
    </w:p>
    <w:tbl>
      <w:tblPr>
        <w:tblStyle w:val="TableGrid"/>
        <w:tblInd w:w="60" w:type="dxa"/>
        <w:tblW w:w="10638" w:type="dxa"/>
        <w:tblCellMar>
          <w:left w:w="360" w:type="dxa"/>
          <w:right w:w="115" w:type="dxa"/>
        </w:tblCellMar>
        <w:tblBorders>
          <w:top w:val="none" w:color="auto" w:sz="0" w:space="0"/>
          <w:left w:val="single" w:color="bfbfbf" w:themeColor="background1" w:themeShade="BF" w:sz="24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0638"/>
      </w:tblGrid>
      <w:tr>
        <w:trPr>
          <w:trHeight w:val="2706"/>
        </w:trPr>
        <w:tc>
          <w:tcPr>
            <w:tcW w:w="10638" w:type="dxa"/>
          </w:tcPr>
          <w:p>
            <w:pPr>
              <w:jc w:val="center"/>
              <w:rPr>
                <w:rFonts w:ascii="Century Gothic" w:hAnsi="Century Gothic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000000" w:themeColor="text1"/>
                <w:sz w:val="20"/>
              </w:rPr>
              <w:t xml:space="preserve">RENUNCIA</w:t>
            </w:r>
          </w:p>
          <w:p>
            <w:pPr>
              <w:rPr>
                <w:rFonts w:ascii="Century Gothic" w:hAnsi="Century Gothic" w:cs="Arial"/>
                <w:color w:val="000000" w:themeColor="text1"/>
                <w:szCs w:val="20"/>
              </w:rPr>
            </w:pPr>
          </w:p>
          <w:p>
            <w:pPr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</w:pPr>
            <w:r>
              <w:rPr>
                <w:rFonts w:ascii="Century Gothic" w:hAnsi="Century Gothic"/>
                <w:color w:val="000000" w:themeColor="text1"/>
                <w:sz w:val="22"/>
              </w:rPr>
              <w:t xml:space="preserve">Todos los artículos, las plantillas o la información que proporcione Smartsheet en el sitio web son solo de referencia. Mientras nos esforzamos por mantener la información actualizada y correcta, no hacemos declaraciones ni garantías de ningún tipo, explícitas o implícitas, sobre la integridad, precisión, confiabilidad, idoneidad o disponibilidad con respecto al sitio web o la información, los artículos, las plantillas o los gráficos relacionados que figuran en el sitio web. Por lo tanto, cualquier confianza que usted deposite en dicha información es estrictamente bajo su propio riesgo.</w:t>
            </w:r>
          </w:p>
        </w:tc>
      </w:tr>
    </w:tbl>
    <w:p>
      <w:pPr>
        <w:rPr>
          <w:rFonts w:ascii="Century Gothic" w:hAnsi="Century Gothic"/>
          <w:b/>
          <w:color w:val="000000" w:themeColor="text1"/>
          <w:sz w:val="32"/>
          <w:szCs w:val="44"/>
        </w:rPr>
      </w:pPr>
    </w:p>
    <w:sectPr>
      <w:footerReference w:type="even" r:id="rId9"/>
      <w:footerReference w:type="default" r:id="rId10"/>
      <w:type w:val="continuous"/>
      <w:pgSz w:h="15840" w:w="12240"/>
      <w:pgMar w:top="432" w:right="720" w:bottom="432" w:left="720" w:header="720" w:footer="51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B0306030504020204"/>
  </w:font>
  <w:font w:name="Symbol">
    <w:panose1 w:val="05010000000000000000"/>
  </w:font>
  <w:font w:name="Calibri">
    <w:panose1 w:val="020F0502020204030204"/>
  </w:font>
  <w:font w:name="Arial">
    <w:panose1 w:val="020F0502020204030204"/>
  </w:font>
  <w:font w:name="Tahoma">
    <w:panose1 w:val="020B0606030504020204"/>
  </w:font>
  <w:font w:name="Century Gothic">
    <w:panose1 w:val="020F0502020204030204"/>
  </w:font>
  <w:font w:name="Times New Roman">
    <w:panose1 w:val="02040503050406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:id w:val="-1012525287"/>
      <w:docPartObj>
        <w:docPartGallery w:val="Page Numbers (Bottom of Page)"/>
        <w:docPartUnique w:val="true"/>
      </w:docPartObj>
      <w:rPr>
        <w:rStyle w:val="PageNumber"/>
      </w:rPr>
    </w:sdtPr>
    <w:sdtContent>
      <w:p>
        <w:pPr>
          <w:pStyle w:val="Footer"/>
          <w:framePr w:hAnchor="margin" w:vAnchor="text" w:wrap="none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:id w:val="1810127374"/>
      <w:docPartObj>
        <w:docPartGallery w:val="Page Numbers (Bottom of Page)"/>
        <w:docPartUnique w:val="true"/>
      </w:docPartObj>
      <w:rPr>
        <w:rStyle w:val="PageNumber"/>
      </w:rPr>
    </w:sdtPr>
    <w:sdtContent>
      <w:p>
        <w:pPr>
          <w:pStyle w:val="Footer"/>
          <w:framePr w:hAnchor="margin" w:vAnchor="text" w:wrap="none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 xml:space="preserve">2</w:t>
        </w:r>
        <w:r>
          <w:rPr>
            <w:rStyle w:val="PageNumber"/>
          </w:rPr>
          <w:fldChar w:fldCharType="end"/>
        </w:r>
      </w:p>
    </w:sdtContent>
  </w:sdt>
  <w:p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singleLevel"/>
    <w:nsid w:val="FFFFFF7C"/>
    <w:lvl w:ilvl="0">
      <w:lvlJc w:val="left"/>
      <w:lvlText w:val="%1."/>
      <w:numFmt w:val="decimal"/>
      <w:pPr>
        <w:tabs>
          <w:tab w:val="num" w:pos="1800"/>
        </w:tabs>
        <w:ind w:hanging="360" w:left="1800"/>
      </w:pPr>
      <w:start w:val="1"/>
    </w:lvl>
  </w:abstractNum>
  <w:abstractNum w:abstractNumId="1">
    <w:multiLevelType w:val="singleLevel"/>
    <w:nsid w:val="FFFFFF7D"/>
    <w:lvl w:ilvl="0">
      <w:lvlJc w:val="left"/>
      <w:lvlText w:val="%1."/>
      <w:numFmt w:val="decimal"/>
      <w:pPr>
        <w:tabs>
          <w:tab w:val="num" w:pos="1440"/>
        </w:tabs>
        <w:ind w:hanging="360" w:left="1440"/>
      </w:pPr>
      <w:start w:val="1"/>
    </w:lvl>
  </w:abstractNum>
  <w:abstractNum w:abstractNumId="2">
    <w:multiLevelType w:val="singleLevel"/>
    <w:nsid w:val="FFFFFF7E"/>
    <w:lvl w:ilvl="0">
      <w:lvlJc w:val="left"/>
      <w:lvlText w:val="%1."/>
      <w:numFmt w:val="decimal"/>
      <w:pPr>
        <w:tabs>
          <w:tab w:val="num" w:pos="1080"/>
        </w:tabs>
        <w:ind w:hanging="360" w:left="1080"/>
      </w:pPr>
      <w:start w:val="1"/>
    </w:lvl>
  </w:abstractNum>
  <w:abstractNum w:abstractNumId="3">
    <w:multiLevelType w:val="singleLevel"/>
    <w:nsid w:val="FFFFFF7F"/>
    <w:lvl w:ilvl="0">
      <w:lvlJc w:val="left"/>
      <w:lvlText w:val="%1."/>
      <w:numFmt w:val="decimal"/>
      <w:pPr>
        <w:tabs>
          <w:tab w:val="num" w:pos="720"/>
        </w:tabs>
        <w:ind w:hanging="360" w:left="720"/>
      </w:pPr>
      <w:start w:val="1"/>
    </w:lvl>
  </w:abstractNum>
  <w:abstractNum w:abstractNumId="4">
    <w:multiLevelType w:val="singleLevel"/>
    <w:nsid w:val="FFFFFF80"/>
    <w:lvl w:ilvl="0">
      <w:lvlJc w:val="left"/>
      <w:lvlText w:val=""/>
      <w:numFmt w:val="bullet"/>
      <w:pPr>
        <w:tabs>
          <w:tab w:val="num" w:pos="1800"/>
        </w:tabs>
        <w:ind w:hanging="360" w:left="1800"/>
      </w:pPr>
      <w:rPr>
        <w:rFonts w:hint="default" w:ascii="Symbol" w:hAnsi="Symbol"/>
      </w:rPr>
      <w:start w:val="1"/>
    </w:lvl>
  </w:abstractNum>
  <w:abstractNum w:abstractNumId="5">
    <w:multiLevelType w:val="singleLevel"/>
    <w:nsid w:val="FFFFFF81"/>
    <w:lvl w:ilvl="0">
      <w:lvlJc w:val="left"/>
      <w:lvlText w:val=""/>
      <w:numFmt w:val="bullet"/>
      <w:pPr>
        <w:tabs>
          <w:tab w:val="num" w:pos="1440"/>
        </w:tabs>
        <w:ind w:hanging="360" w:left="1440"/>
      </w:pPr>
      <w:rPr>
        <w:rFonts w:hint="default" w:ascii="Symbol" w:hAnsi="Symbol"/>
      </w:rPr>
      <w:start w:val="1"/>
    </w:lvl>
  </w:abstractNum>
  <w:abstractNum w:abstractNumId="6">
    <w:multiLevelType w:val="singleLevel"/>
    <w:nsid w:val="FFFFFF82"/>
    <w:lvl w:ilvl="0">
      <w:lvlJc w:val="left"/>
      <w:lvlText w:val=""/>
      <w:numFmt w:val="bullet"/>
      <w:pPr>
        <w:tabs>
          <w:tab w:val="num" w:pos="1080"/>
        </w:tabs>
        <w:ind w:hanging="360" w:left="1080"/>
      </w:pPr>
      <w:rPr>
        <w:rFonts w:hint="default" w:ascii="Symbol" w:hAnsi="Symbol"/>
      </w:rPr>
      <w:start w:val="1"/>
    </w:lvl>
  </w:abstractNum>
  <w:abstractNum w:abstractNumId="7">
    <w:multiLevelType w:val="singleLevel"/>
    <w:nsid w:val="FFFFFF83"/>
    <w:lvl w:ilvl="0">
      <w:lvlJc w:val="left"/>
      <w:lvlText w:val=""/>
      <w:numFmt w:val="bullet"/>
      <w:pPr>
        <w:tabs>
          <w:tab w:val="num" w:pos="720"/>
        </w:tabs>
        <w:ind w:hanging="360" w:left="720"/>
      </w:pPr>
      <w:rPr>
        <w:rFonts w:hint="default" w:ascii="Symbol" w:hAnsi="Symbol"/>
      </w:rPr>
      <w:start w:val="1"/>
    </w:lvl>
  </w:abstractNum>
  <w:abstractNum w:abstractNumId="8">
    <w:multiLevelType w:val="singleLevel"/>
    <w:nsid w:val="FFFFFF88"/>
    <w:lvl w:ilvl="0">
      <w:lvlJc w:val="left"/>
      <w:lvlText w:val="%1."/>
      <w:numFmt w:val="decimal"/>
      <w:pPr>
        <w:tabs>
          <w:tab w:val="num" w:pos="360"/>
        </w:tabs>
        <w:ind w:hanging="360" w:left="360"/>
      </w:pPr>
      <w:start w:val="1"/>
    </w:lvl>
  </w:abstractNum>
  <w:abstractNum w:abstractNumId="9">
    <w:multiLevelType w:val="singleLevel"/>
    <w:nsid w:val="FFFFFF89"/>
    <w:lvl w:ilvl="0">
      <w:lvlJc w:val="left"/>
      <w:lvlText w:val=""/>
      <w:numFmt w:val="bullet"/>
      <w:pPr>
        <w:tabs>
          <w:tab w:val="num" w:pos="360"/>
        </w:tabs>
        <w:ind w:hanging="360" w:left="360"/>
      </w:pPr>
      <w:rPr>
        <w:rFonts w:hint="default" w:ascii="Symbol" w:hAnsi="Symbol"/>
      </w:rPr>
      <w:start w:val="1"/>
    </w:lvl>
  </w:abstractNum>
  <w:abstractNum w:abstractNumId="10">
    <w:multiLevelType w:val="hybridMultilevel"/>
    <w:nsid w:val="1F8F75AB"/>
    <w:lvl w:ilvl="0" w:tplc="04090001">
      <w:lvlJc w:val="left"/>
      <w:lvlText w:val=""/>
      <w:numFmt w:val="bullet"/>
      <w:pPr>
        <w:ind w:hanging="360" w:left="720"/>
      </w:pPr>
      <w:rPr>
        <w:rFonts w:hint="default" w:ascii="Symbol" w:hAnsi="Symbol"/>
      </w:rPr>
      <w:start w:val="1"/>
    </w:lvl>
    <w:lvl w:ilvl="1" w:tentative="true" w:tplc="04090003">
      <w:lvlJc w:val="left"/>
      <w:lvlText w:val="o"/>
      <w:numFmt w:val="bullet"/>
      <w:pPr>
        <w:ind w:hanging="360" w:left="1440"/>
      </w:pPr>
      <w:rPr>
        <w:rFonts w:hint="default" w:ascii="Courier New" w:hAnsi="Courier New" w:cs="Courier New"/>
      </w:rPr>
      <w:start w:val="1"/>
    </w:lvl>
    <w:lvl w:ilvl="2" w:tentative="true" w:tplc="04090005">
      <w:lvlJc w:val="left"/>
      <w:lvlText w:val=""/>
      <w:numFmt w:val="bullet"/>
      <w:pPr>
        <w:ind w:hanging="360" w:left="2160"/>
      </w:pPr>
      <w:rPr>
        <w:rFonts w:hint="default" w:ascii="Wingdings" w:hAnsi="Wingdings"/>
      </w:rPr>
      <w:start w:val="1"/>
    </w:lvl>
    <w:lvl w:ilvl="3" w:tentative="true" w:tplc="04090001">
      <w:lvlJc w:val="left"/>
      <w:lvlText w:val=""/>
      <w:numFmt w:val="bullet"/>
      <w:pPr>
        <w:ind w:hanging="360" w:left="2880"/>
      </w:pPr>
      <w:rPr>
        <w:rFonts w:hint="default" w:ascii="Symbol" w:hAnsi="Symbol"/>
      </w:rPr>
      <w:start w:val="1"/>
    </w:lvl>
    <w:lvl w:ilvl="4" w:tentative="true" w:tplc="04090003">
      <w:lvlJc w:val="left"/>
      <w:lvlText w:val="o"/>
      <w:numFmt w:val="bullet"/>
      <w:pPr>
        <w:ind w:hanging="360" w:left="3600"/>
      </w:pPr>
      <w:rPr>
        <w:rFonts w:hint="default" w:ascii="Courier New" w:hAnsi="Courier New" w:cs="Courier New"/>
      </w:rPr>
      <w:start w:val="1"/>
    </w:lvl>
    <w:lvl w:ilvl="5" w:tentative="true" w:tplc="04090005">
      <w:lvlJc w:val="left"/>
      <w:lvlText w:val=""/>
      <w:numFmt w:val="bullet"/>
      <w:pPr>
        <w:ind w:hanging="360" w:left="4320"/>
      </w:pPr>
      <w:rPr>
        <w:rFonts w:hint="default" w:ascii="Wingdings" w:hAnsi="Wingdings"/>
      </w:rPr>
      <w:start w:val="1"/>
    </w:lvl>
    <w:lvl w:ilvl="6" w:tentative="true" w:tplc="04090001">
      <w:lvlJc w:val="left"/>
      <w:lvlText w:val=""/>
      <w:numFmt w:val="bullet"/>
      <w:pPr>
        <w:ind w:hanging="360" w:left="5040"/>
      </w:pPr>
      <w:rPr>
        <w:rFonts w:hint="default" w:ascii="Symbol" w:hAnsi="Symbol"/>
      </w:rPr>
      <w:start w:val="1"/>
    </w:lvl>
    <w:lvl w:ilvl="7" w:tentative="true" w:tplc="04090003">
      <w:lvlJc w:val="left"/>
      <w:lvlText w:val="o"/>
      <w:numFmt w:val="bullet"/>
      <w:pPr>
        <w:ind w:hanging="360" w:left="5760"/>
      </w:pPr>
      <w:rPr>
        <w:rFonts w:hint="default" w:ascii="Courier New" w:hAnsi="Courier New" w:cs="Courier New"/>
      </w:rPr>
      <w:start w:val="1"/>
    </w:lvl>
    <w:lvl w:ilvl="8" w:tentative="true" w:tplc="04090005">
      <w:lvlJc w:val="left"/>
      <w:lvlText w:val=""/>
      <w:numFmt w:val="bullet"/>
      <w:pPr>
        <w:ind w:hanging="360" w:left="6480"/>
      </w:pPr>
      <w:rPr>
        <w:rFonts w:hint="default" w:ascii="Wingdings" w:hAnsi="Wingdings"/>
      </w:rPr>
      <w:start w:val="1"/>
    </w:lvl>
  </w:abstractNum>
  <w:abstractNum w:abstractNumId="11">
    <w:multiLevelType w:val="hybridMultilevel"/>
    <w:nsid w:val="37F86274"/>
    <w:lvl w:ilvl="0" w:tplc="04090001">
      <w:lvlJc w:val="left"/>
      <w:lvlText w:val=""/>
      <w:numFmt w:val="bullet"/>
      <w:pPr>
        <w:ind w:hanging="360" w:left="720"/>
      </w:pPr>
      <w:rPr>
        <w:rFonts w:hint="default" w:ascii="Symbol" w:hAnsi="Symbol"/>
      </w:rPr>
      <w:start w:val="1"/>
    </w:lvl>
    <w:lvl w:ilvl="1" w:tentative="true" w:tplc="04090003">
      <w:lvlJc w:val="left"/>
      <w:lvlText w:val="o"/>
      <w:numFmt w:val="bullet"/>
      <w:pPr>
        <w:ind w:hanging="360" w:left="1440"/>
      </w:pPr>
      <w:rPr>
        <w:rFonts w:hint="default" w:ascii="Courier New" w:hAnsi="Courier New" w:cs="Courier New"/>
      </w:rPr>
      <w:start w:val="1"/>
    </w:lvl>
    <w:lvl w:ilvl="2" w:tentative="true" w:tplc="04090005">
      <w:lvlJc w:val="left"/>
      <w:lvlText w:val=""/>
      <w:numFmt w:val="bullet"/>
      <w:pPr>
        <w:ind w:hanging="360" w:left="2160"/>
      </w:pPr>
      <w:rPr>
        <w:rFonts w:hint="default" w:ascii="Wingdings" w:hAnsi="Wingdings"/>
      </w:rPr>
      <w:start w:val="1"/>
    </w:lvl>
    <w:lvl w:ilvl="3" w:tentative="true" w:tplc="04090001">
      <w:lvlJc w:val="left"/>
      <w:lvlText w:val=""/>
      <w:numFmt w:val="bullet"/>
      <w:pPr>
        <w:ind w:hanging="360" w:left="2880"/>
      </w:pPr>
      <w:rPr>
        <w:rFonts w:hint="default" w:ascii="Symbol" w:hAnsi="Symbol"/>
      </w:rPr>
      <w:start w:val="1"/>
    </w:lvl>
    <w:lvl w:ilvl="4" w:tentative="true" w:tplc="04090003">
      <w:lvlJc w:val="left"/>
      <w:lvlText w:val="o"/>
      <w:numFmt w:val="bullet"/>
      <w:pPr>
        <w:ind w:hanging="360" w:left="3600"/>
      </w:pPr>
      <w:rPr>
        <w:rFonts w:hint="default" w:ascii="Courier New" w:hAnsi="Courier New" w:cs="Courier New"/>
      </w:rPr>
      <w:start w:val="1"/>
    </w:lvl>
    <w:lvl w:ilvl="5" w:tentative="true" w:tplc="04090005">
      <w:lvlJc w:val="left"/>
      <w:lvlText w:val=""/>
      <w:numFmt w:val="bullet"/>
      <w:pPr>
        <w:ind w:hanging="360" w:left="4320"/>
      </w:pPr>
      <w:rPr>
        <w:rFonts w:hint="default" w:ascii="Wingdings" w:hAnsi="Wingdings"/>
      </w:rPr>
      <w:start w:val="1"/>
    </w:lvl>
    <w:lvl w:ilvl="6" w:tentative="true" w:tplc="04090001">
      <w:lvlJc w:val="left"/>
      <w:lvlText w:val=""/>
      <w:numFmt w:val="bullet"/>
      <w:pPr>
        <w:ind w:hanging="360" w:left="5040"/>
      </w:pPr>
      <w:rPr>
        <w:rFonts w:hint="default" w:ascii="Symbol" w:hAnsi="Symbol"/>
      </w:rPr>
      <w:start w:val="1"/>
    </w:lvl>
    <w:lvl w:ilvl="7" w:tentative="true" w:tplc="04090003">
      <w:lvlJc w:val="left"/>
      <w:lvlText w:val="o"/>
      <w:numFmt w:val="bullet"/>
      <w:pPr>
        <w:ind w:hanging="360" w:left="5760"/>
      </w:pPr>
      <w:rPr>
        <w:rFonts w:hint="default" w:ascii="Courier New" w:hAnsi="Courier New" w:cs="Courier New"/>
      </w:rPr>
      <w:start w:val="1"/>
    </w:lvl>
    <w:lvl w:ilvl="8" w:tentative="true" w:tplc="04090005">
      <w:lvlJc w:val="left"/>
      <w:lvlText w:val=""/>
      <w:numFmt w:val="bullet"/>
      <w:pPr>
        <w:ind w:hanging="360" w:left="6480"/>
      </w:pPr>
      <w:rPr>
        <w:rFonts w:hint="default" w:ascii="Wingdings" w:hAnsi="Wingdings"/>
      </w:rPr>
      <w:start w:val="1"/>
    </w:lvl>
  </w:abstractNum>
  <w:abstractNum w:abstractNumId="12">
    <w:multiLevelType w:val="hybridMultilevel"/>
    <w:nsid w:val="45DB2828"/>
    <w:lvl w:ilvl="0" w:tplc="04090001">
      <w:lvlJc w:val="left"/>
      <w:lvlText w:val=""/>
      <w:numFmt w:val="bullet"/>
      <w:pPr>
        <w:ind w:hanging="360" w:left="720"/>
      </w:pPr>
      <w:rPr>
        <w:rFonts w:hint="default" w:ascii="Symbol" w:hAnsi="Symbol"/>
      </w:rPr>
      <w:start w:val="1"/>
    </w:lvl>
    <w:lvl w:ilvl="1" w:tentative="true" w:tplc="04090003">
      <w:lvlJc w:val="left"/>
      <w:lvlText w:val="o"/>
      <w:numFmt w:val="bullet"/>
      <w:pPr>
        <w:ind w:hanging="360" w:left="1440"/>
      </w:pPr>
      <w:rPr>
        <w:rFonts w:hint="default" w:ascii="Courier New" w:hAnsi="Courier New" w:cs="Courier New"/>
      </w:rPr>
      <w:start w:val="1"/>
    </w:lvl>
    <w:lvl w:ilvl="2" w:tentative="true" w:tplc="04090005">
      <w:lvlJc w:val="left"/>
      <w:lvlText w:val=""/>
      <w:numFmt w:val="bullet"/>
      <w:pPr>
        <w:ind w:hanging="360" w:left="2160"/>
      </w:pPr>
      <w:rPr>
        <w:rFonts w:hint="default" w:ascii="Wingdings" w:hAnsi="Wingdings"/>
      </w:rPr>
      <w:start w:val="1"/>
    </w:lvl>
    <w:lvl w:ilvl="3" w:tentative="true" w:tplc="04090001">
      <w:lvlJc w:val="left"/>
      <w:lvlText w:val=""/>
      <w:numFmt w:val="bullet"/>
      <w:pPr>
        <w:ind w:hanging="360" w:left="2880"/>
      </w:pPr>
      <w:rPr>
        <w:rFonts w:hint="default" w:ascii="Symbol" w:hAnsi="Symbol"/>
      </w:rPr>
      <w:start w:val="1"/>
    </w:lvl>
    <w:lvl w:ilvl="4" w:tentative="true" w:tplc="04090003">
      <w:lvlJc w:val="left"/>
      <w:lvlText w:val="o"/>
      <w:numFmt w:val="bullet"/>
      <w:pPr>
        <w:ind w:hanging="360" w:left="3600"/>
      </w:pPr>
      <w:rPr>
        <w:rFonts w:hint="default" w:ascii="Courier New" w:hAnsi="Courier New" w:cs="Courier New"/>
      </w:rPr>
      <w:start w:val="1"/>
    </w:lvl>
    <w:lvl w:ilvl="5" w:tentative="true" w:tplc="04090005">
      <w:lvlJc w:val="left"/>
      <w:lvlText w:val=""/>
      <w:numFmt w:val="bullet"/>
      <w:pPr>
        <w:ind w:hanging="360" w:left="4320"/>
      </w:pPr>
      <w:rPr>
        <w:rFonts w:hint="default" w:ascii="Wingdings" w:hAnsi="Wingdings"/>
      </w:rPr>
      <w:start w:val="1"/>
    </w:lvl>
    <w:lvl w:ilvl="6" w:tentative="true" w:tplc="04090001">
      <w:lvlJc w:val="left"/>
      <w:lvlText w:val=""/>
      <w:numFmt w:val="bullet"/>
      <w:pPr>
        <w:ind w:hanging="360" w:left="5040"/>
      </w:pPr>
      <w:rPr>
        <w:rFonts w:hint="default" w:ascii="Symbol" w:hAnsi="Symbol"/>
      </w:rPr>
      <w:start w:val="1"/>
    </w:lvl>
    <w:lvl w:ilvl="7" w:tentative="true" w:tplc="04090003">
      <w:lvlJc w:val="left"/>
      <w:lvlText w:val="o"/>
      <w:numFmt w:val="bullet"/>
      <w:pPr>
        <w:ind w:hanging="360" w:left="5760"/>
      </w:pPr>
      <w:rPr>
        <w:rFonts w:hint="default" w:ascii="Courier New" w:hAnsi="Courier New" w:cs="Courier New"/>
      </w:rPr>
      <w:start w:val="1"/>
    </w:lvl>
    <w:lvl w:ilvl="8" w:tentative="true" w:tplc="04090005">
      <w:lvlJc w:val="left"/>
      <w:lvlText w:val=""/>
      <w:numFmt w:val="bullet"/>
      <w:pPr>
        <w:ind w:hanging="360" w:left="6480"/>
      </w:pPr>
      <w:rPr>
        <w:rFonts w:hint="default" w:ascii="Wingdings" w:hAnsi="Wingdings"/>
      </w:rPr>
      <w:start w:val="1"/>
    </w:lvl>
  </w:abstractNum>
  <w:abstractNum w:abstractNumId="13">
    <w:multiLevelType w:val="hybridMultilevel"/>
    <w:nsid w:val="4855258A"/>
    <w:lvl w:ilvl="0" w:tplc="0C090001">
      <w:lvlJc w:val="left"/>
      <w:lvlText w:val=""/>
      <w:numFmt w:val="bullet"/>
      <w:pPr>
        <w:ind w:hanging="360" w:left="720"/>
      </w:pPr>
      <w:rPr>
        <w:rFonts w:hint="default" w:ascii="Symbol" w:hAnsi="Symbol"/>
      </w:rPr>
      <w:start w:val="1"/>
    </w:lvl>
    <w:lvl w:ilvl="1" w:tentative="true" w:tplc="0C090003">
      <w:lvlJc w:val="left"/>
      <w:lvlText w:val="o"/>
      <w:numFmt w:val="bullet"/>
      <w:pPr>
        <w:ind w:hanging="360" w:left="1440"/>
      </w:pPr>
      <w:rPr>
        <w:rFonts w:hint="default" w:ascii="Courier New" w:hAnsi="Courier New" w:cs="Courier New"/>
      </w:rPr>
      <w:start w:val="1"/>
    </w:lvl>
    <w:lvl w:ilvl="2" w:tentative="true" w:tplc="0C090005">
      <w:lvlJc w:val="left"/>
      <w:lvlText w:val=""/>
      <w:numFmt w:val="bullet"/>
      <w:pPr>
        <w:ind w:hanging="360" w:left="2160"/>
      </w:pPr>
      <w:rPr>
        <w:rFonts w:hint="default" w:ascii="Wingdings" w:hAnsi="Wingdings"/>
      </w:rPr>
      <w:start w:val="1"/>
    </w:lvl>
    <w:lvl w:ilvl="3" w:tentative="true" w:tplc="0C090001">
      <w:lvlJc w:val="left"/>
      <w:lvlText w:val=""/>
      <w:numFmt w:val="bullet"/>
      <w:pPr>
        <w:ind w:hanging="360" w:left="2880"/>
      </w:pPr>
      <w:rPr>
        <w:rFonts w:hint="default" w:ascii="Symbol" w:hAnsi="Symbol"/>
      </w:rPr>
      <w:start w:val="1"/>
    </w:lvl>
    <w:lvl w:ilvl="4" w:tentative="true" w:tplc="0C090003">
      <w:lvlJc w:val="left"/>
      <w:lvlText w:val="o"/>
      <w:numFmt w:val="bullet"/>
      <w:pPr>
        <w:ind w:hanging="360" w:left="3600"/>
      </w:pPr>
      <w:rPr>
        <w:rFonts w:hint="default" w:ascii="Courier New" w:hAnsi="Courier New" w:cs="Courier New"/>
      </w:rPr>
      <w:start w:val="1"/>
    </w:lvl>
    <w:lvl w:ilvl="5" w:tentative="true" w:tplc="0C090005">
      <w:lvlJc w:val="left"/>
      <w:lvlText w:val=""/>
      <w:numFmt w:val="bullet"/>
      <w:pPr>
        <w:ind w:hanging="360" w:left="4320"/>
      </w:pPr>
      <w:rPr>
        <w:rFonts w:hint="default" w:ascii="Wingdings" w:hAnsi="Wingdings"/>
      </w:rPr>
      <w:start w:val="1"/>
    </w:lvl>
    <w:lvl w:ilvl="6" w:tentative="true" w:tplc="0C090001">
      <w:lvlJc w:val="left"/>
      <w:lvlText w:val=""/>
      <w:numFmt w:val="bullet"/>
      <w:pPr>
        <w:ind w:hanging="360" w:left="5040"/>
      </w:pPr>
      <w:rPr>
        <w:rFonts w:hint="default" w:ascii="Symbol" w:hAnsi="Symbol"/>
      </w:rPr>
      <w:start w:val="1"/>
    </w:lvl>
    <w:lvl w:ilvl="7" w:tentative="true" w:tplc="0C090003">
      <w:lvlJc w:val="left"/>
      <w:lvlText w:val="o"/>
      <w:numFmt w:val="bullet"/>
      <w:pPr>
        <w:ind w:hanging="360" w:left="5760"/>
      </w:pPr>
      <w:rPr>
        <w:rFonts w:hint="default" w:ascii="Courier New" w:hAnsi="Courier New" w:cs="Courier New"/>
      </w:rPr>
      <w:start w:val="1"/>
    </w:lvl>
    <w:lvl w:ilvl="8" w:tentative="true" w:tplc="0C090005">
      <w:lvlJc w:val="left"/>
      <w:lvlText w:val=""/>
      <w:numFmt w:val="bullet"/>
      <w:pPr>
        <w:ind w:hanging="360" w:left="6480"/>
      </w:pPr>
      <w:rPr>
        <w:rFonts w:hint="default" w:ascii="Wingdings" w:hAnsi="Wingdings"/>
      </w:rPr>
      <w:start w:val="1"/>
    </w:lvl>
  </w:abstractNum>
  <w:abstractNum w:abstractNumId="14">
    <w:multiLevelType w:val="hybridMultilevel"/>
    <w:nsid w:val="5A3B52F6"/>
    <w:lvl w:ilvl="0" w:tplc="0C090001">
      <w:lvlJc w:val="left"/>
      <w:lvlText w:val=""/>
      <w:numFmt w:val="bullet"/>
      <w:pPr>
        <w:ind w:hanging="360" w:left="720"/>
      </w:pPr>
      <w:rPr>
        <w:rFonts w:hint="default" w:ascii="Symbol" w:hAnsi="Symbol"/>
      </w:rPr>
      <w:start w:val="1"/>
    </w:lvl>
    <w:lvl w:ilvl="1" w:tentative="true" w:tplc="0C090003">
      <w:lvlJc w:val="left"/>
      <w:lvlText w:val="o"/>
      <w:numFmt w:val="bullet"/>
      <w:pPr>
        <w:ind w:hanging="360" w:left="1440"/>
      </w:pPr>
      <w:rPr>
        <w:rFonts w:hint="default" w:ascii="Courier New" w:hAnsi="Courier New" w:cs="Courier New"/>
      </w:rPr>
      <w:start w:val="1"/>
    </w:lvl>
    <w:lvl w:ilvl="2" w:tentative="true" w:tplc="0C090005">
      <w:lvlJc w:val="left"/>
      <w:lvlText w:val=""/>
      <w:numFmt w:val="bullet"/>
      <w:pPr>
        <w:ind w:hanging="360" w:left="2160"/>
      </w:pPr>
      <w:rPr>
        <w:rFonts w:hint="default" w:ascii="Wingdings" w:hAnsi="Wingdings"/>
      </w:rPr>
      <w:start w:val="1"/>
    </w:lvl>
    <w:lvl w:ilvl="3" w:tentative="true" w:tplc="0C090001">
      <w:lvlJc w:val="left"/>
      <w:lvlText w:val=""/>
      <w:numFmt w:val="bullet"/>
      <w:pPr>
        <w:ind w:hanging="360" w:left="2880"/>
      </w:pPr>
      <w:rPr>
        <w:rFonts w:hint="default" w:ascii="Symbol" w:hAnsi="Symbol"/>
      </w:rPr>
      <w:start w:val="1"/>
    </w:lvl>
    <w:lvl w:ilvl="4" w:tentative="true" w:tplc="0C090003">
      <w:lvlJc w:val="left"/>
      <w:lvlText w:val="o"/>
      <w:numFmt w:val="bullet"/>
      <w:pPr>
        <w:ind w:hanging="360" w:left="3600"/>
      </w:pPr>
      <w:rPr>
        <w:rFonts w:hint="default" w:ascii="Courier New" w:hAnsi="Courier New" w:cs="Courier New"/>
      </w:rPr>
      <w:start w:val="1"/>
    </w:lvl>
    <w:lvl w:ilvl="5" w:tentative="true" w:tplc="0C090005">
      <w:lvlJc w:val="left"/>
      <w:lvlText w:val=""/>
      <w:numFmt w:val="bullet"/>
      <w:pPr>
        <w:ind w:hanging="360" w:left="4320"/>
      </w:pPr>
      <w:rPr>
        <w:rFonts w:hint="default" w:ascii="Wingdings" w:hAnsi="Wingdings"/>
      </w:rPr>
      <w:start w:val="1"/>
    </w:lvl>
    <w:lvl w:ilvl="6" w:tentative="true" w:tplc="0C090001">
      <w:lvlJc w:val="left"/>
      <w:lvlText w:val=""/>
      <w:numFmt w:val="bullet"/>
      <w:pPr>
        <w:ind w:hanging="360" w:left="5040"/>
      </w:pPr>
      <w:rPr>
        <w:rFonts w:hint="default" w:ascii="Symbol" w:hAnsi="Symbol"/>
      </w:rPr>
      <w:start w:val="1"/>
    </w:lvl>
    <w:lvl w:ilvl="7" w:tentative="true" w:tplc="0C090003">
      <w:lvlJc w:val="left"/>
      <w:lvlText w:val="o"/>
      <w:numFmt w:val="bullet"/>
      <w:pPr>
        <w:ind w:hanging="360" w:left="5760"/>
      </w:pPr>
      <w:rPr>
        <w:rFonts w:hint="default" w:ascii="Courier New" w:hAnsi="Courier New" w:cs="Courier New"/>
      </w:rPr>
      <w:start w:val="1"/>
    </w:lvl>
    <w:lvl w:ilvl="8" w:tentative="true" w:tplc="0C090005">
      <w:lvlJc w:val="left"/>
      <w:lvlText w:val=""/>
      <w:numFmt w:val="bullet"/>
      <w:pPr>
        <w:ind w:hanging="360" w:left="6480"/>
      </w:pPr>
      <w:rPr>
        <w:rFonts w:hint="default" w:ascii="Wingdings" w:hAnsi="Wingdings"/>
      </w:rPr>
      <w:start w:val="1"/>
    </w:lvl>
  </w:abstractNum>
  <w:abstractNum w:abstractNumId="15">
    <w:multiLevelType w:val="hybridMultilevel"/>
    <w:nsid w:val="707F05E4"/>
    <w:lvl w:ilvl="0" w:tplc="04090001">
      <w:lvlJc w:val="left"/>
      <w:lvlText w:val=""/>
      <w:numFmt w:val="bullet"/>
      <w:pPr>
        <w:ind w:hanging="360" w:left="720"/>
      </w:pPr>
      <w:rPr>
        <w:rFonts w:hint="default" w:ascii="Symbol" w:hAnsi="Symbol"/>
      </w:rPr>
      <w:start w:val="1"/>
    </w:lvl>
    <w:lvl w:ilvl="1" w:tentative="true" w:tplc="04090003">
      <w:lvlJc w:val="left"/>
      <w:lvlText w:val="o"/>
      <w:numFmt w:val="bullet"/>
      <w:pPr>
        <w:ind w:hanging="360" w:left="1440"/>
      </w:pPr>
      <w:rPr>
        <w:rFonts w:hint="default" w:ascii="Courier New" w:hAnsi="Courier New" w:cs="Courier New"/>
      </w:rPr>
      <w:start w:val="1"/>
    </w:lvl>
    <w:lvl w:ilvl="2" w:tentative="true" w:tplc="04090005">
      <w:lvlJc w:val="left"/>
      <w:lvlText w:val=""/>
      <w:numFmt w:val="bullet"/>
      <w:pPr>
        <w:ind w:hanging="360" w:left="2160"/>
      </w:pPr>
      <w:rPr>
        <w:rFonts w:hint="default" w:ascii="Wingdings" w:hAnsi="Wingdings"/>
      </w:rPr>
      <w:start w:val="1"/>
    </w:lvl>
    <w:lvl w:ilvl="3" w:tentative="true" w:tplc="04090001">
      <w:lvlJc w:val="left"/>
      <w:lvlText w:val=""/>
      <w:numFmt w:val="bullet"/>
      <w:pPr>
        <w:ind w:hanging="360" w:left="2880"/>
      </w:pPr>
      <w:rPr>
        <w:rFonts w:hint="default" w:ascii="Symbol" w:hAnsi="Symbol"/>
      </w:rPr>
      <w:start w:val="1"/>
    </w:lvl>
    <w:lvl w:ilvl="4" w:tentative="true" w:tplc="04090003">
      <w:lvlJc w:val="left"/>
      <w:lvlText w:val="o"/>
      <w:numFmt w:val="bullet"/>
      <w:pPr>
        <w:ind w:hanging="360" w:left="3600"/>
      </w:pPr>
      <w:rPr>
        <w:rFonts w:hint="default" w:ascii="Courier New" w:hAnsi="Courier New" w:cs="Courier New"/>
      </w:rPr>
      <w:start w:val="1"/>
    </w:lvl>
    <w:lvl w:ilvl="5" w:tentative="true" w:tplc="04090005">
      <w:lvlJc w:val="left"/>
      <w:lvlText w:val=""/>
      <w:numFmt w:val="bullet"/>
      <w:pPr>
        <w:ind w:hanging="360" w:left="4320"/>
      </w:pPr>
      <w:rPr>
        <w:rFonts w:hint="default" w:ascii="Wingdings" w:hAnsi="Wingdings"/>
      </w:rPr>
      <w:start w:val="1"/>
    </w:lvl>
    <w:lvl w:ilvl="6" w:tentative="true" w:tplc="04090001">
      <w:lvlJc w:val="left"/>
      <w:lvlText w:val=""/>
      <w:numFmt w:val="bullet"/>
      <w:pPr>
        <w:ind w:hanging="360" w:left="5040"/>
      </w:pPr>
      <w:rPr>
        <w:rFonts w:hint="default" w:ascii="Symbol" w:hAnsi="Symbol"/>
      </w:rPr>
      <w:start w:val="1"/>
    </w:lvl>
    <w:lvl w:ilvl="7" w:tentative="true" w:tplc="04090003">
      <w:lvlJc w:val="left"/>
      <w:lvlText w:val="o"/>
      <w:numFmt w:val="bullet"/>
      <w:pPr>
        <w:ind w:hanging="360" w:left="5760"/>
      </w:pPr>
      <w:rPr>
        <w:rFonts w:hint="default" w:ascii="Courier New" w:hAnsi="Courier New" w:cs="Courier New"/>
      </w:rPr>
      <w:start w:val="1"/>
    </w:lvl>
    <w:lvl w:ilvl="8" w:tentative="true" w:tplc="04090005">
      <w:lvlJc w:val="left"/>
      <w:lvlText w:val=""/>
      <w:numFmt w:val="bullet"/>
      <w:pPr>
        <w:ind w:hanging="360" w:left="6480"/>
      </w:pPr>
      <w:rPr>
        <w:rFonts w:hint="default" w:ascii="Wingdings" w:hAnsi="Wingdings"/>
      </w:rPr>
      <w:start w:val="1"/>
    </w:lvl>
  </w:abstractNum>
  <w:abstractNum w:abstractNumId="16">
    <w:multiLevelType w:val="hybridMultilevel"/>
    <w:nsid w:val="73862E7A"/>
    <w:lvl w:ilvl="0" w:tplc="0C090001">
      <w:lvlJc w:val="left"/>
      <w:lvlText w:val=""/>
      <w:numFmt w:val="bullet"/>
      <w:pPr>
        <w:ind w:hanging="360" w:left="720"/>
      </w:pPr>
      <w:rPr>
        <w:rFonts w:hint="default" w:ascii="Symbol" w:hAnsi="Symbol"/>
      </w:rPr>
      <w:start w:val="1"/>
    </w:lvl>
    <w:lvl w:ilvl="1" w:tentative="true" w:tplc="0C090003">
      <w:lvlJc w:val="left"/>
      <w:lvlText w:val="o"/>
      <w:numFmt w:val="bullet"/>
      <w:pPr>
        <w:ind w:hanging="360" w:left="1440"/>
      </w:pPr>
      <w:rPr>
        <w:rFonts w:hint="default" w:ascii="Courier New" w:hAnsi="Courier New" w:cs="Courier New"/>
      </w:rPr>
      <w:start w:val="1"/>
    </w:lvl>
    <w:lvl w:ilvl="2" w:tentative="true" w:tplc="0C090005">
      <w:lvlJc w:val="left"/>
      <w:lvlText w:val=""/>
      <w:numFmt w:val="bullet"/>
      <w:pPr>
        <w:ind w:hanging="360" w:left="2160"/>
      </w:pPr>
      <w:rPr>
        <w:rFonts w:hint="default" w:ascii="Wingdings" w:hAnsi="Wingdings"/>
      </w:rPr>
      <w:start w:val="1"/>
    </w:lvl>
    <w:lvl w:ilvl="3" w:tentative="true" w:tplc="0C090001">
      <w:lvlJc w:val="left"/>
      <w:lvlText w:val=""/>
      <w:numFmt w:val="bullet"/>
      <w:pPr>
        <w:ind w:hanging="360" w:left="2880"/>
      </w:pPr>
      <w:rPr>
        <w:rFonts w:hint="default" w:ascii="Symbol" w:hAnsi="Symbol"/>
      </w:rPr>
      <w:start w:val="1"/>
    </w:lvl>
    <w:lvl w:ilvl="4" w:tentative="true" w:tplc="0C090003">
      <w:lvlJc w:val="left"/>
      <w:lvlText w:val="o"/>
      <w:numFmt w:val="bullet"/>
      <w:pPr>
        <w:ind w:hanging="360" w:left="3600"/>
      </w:pPr>
      <w:rPr>
        <w:rFonts w:hint="default" w:ascii="Courier New" w:hAnsi="Courier New" w:cs="Courier New"/>
      </w:rPr>
      <w:start w:val="1"/>
    </w:lvl>
    <w:lvl w:ilvl="5" w:tentative="true" w:tplc="0C090005">
      <w:lvlJc w:val="left"/>
      <w:lvlText w:val=""/>
      <w:numFmt w:val="bullet"/>
      <w:pPr>
        <w:ind w:hanging="360" w:left="4320"/>
      </w:pPr>
      <w:rPr>
        <w:rFonts w:hint="default" w:ascii="Wingdings" w:hAnsi="Wingdings"/>
      </w:rPr>
      <w:start w:val="1"/>
    </w:lvl>
    <w:lvl w:ilvl="6" w:tentative="true" w:tplc="0C090001">
      <w:lvlJc w:val="left"/>
      <w:lvlText w:val=""/>
      <w:numFmt w:val="bullet"/>
      <w:pPr>
        <w:ind w:hanging="360" w:left="5040"/>
      </w:pPr>
      <w:rPr>
        <w:rFonts w:hint="default" w:ascii="Symbol" w:hAnsi="Symbol"/>
      </w:rPr>
      <w:start w:val="1"/>
    </w:lvl>
    <w:lvl w:ilvl="7" w:tentative="true" w:tplc="0C090003">
      <w:lvlJc w:val="left"/>
      <w:lvlText w:val="o"/>
      <w:numFmt w:val="bullet"/>
      <w:pPr>
        <w:ind w:hanging="360" w:left="5760"/>
      </w:pPr>
      <w:rPr>
        <w:rFonts w:hint="default" w:ascii="Courier New" w:hAnsi="Courier New" w:cs="Courier New"/>
      </w:rPr>
      <w:start w:val="1"/>
    </w:lvl>
    <w:lvl w:ilvl="8" w:tentative="true" w:tplc="0C090005">
      <w:lvlJc w:val="left"/>
      <w:lvlText w:val=""/>
      <w:numFmt w:val="bullet"/>
      <w:pPr>
        <w:ind w:hanging="360" w:left="6480"/>
      </w:pPr>
      <w:rPr>
        <w:rFonts w:hint="default" w:ascii="Wingdings" w:hAnsi="Wingdings"/>
      </w:rPr>
      <w:start w:val="1"/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6"/>
  </w:num>
  <w:num w:numId="13">
    <w:abstractNumId w:val="15"/>
  </w:num>
  <w:num w:numId="14">
    <w:abstractNumId w:val="11"/>
  </w:num>
  <w:num w:numId="15">
    <w:abstractNumId w:val="10"/>
  </w:num>
  <w:num w:numId="16">
    <w:abstractNumId w:val="12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="Times New Roman" w:cs="Times New Roman"/>
        <w:lang w:val="es-419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Pr>
      <w:rFonts w:asciiTheme="minorHAnsi" w:hAnsiTheme="minorHAnsi"/>
      <w:sz w:val="16"/>
      <w:szCs w:val="2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entury Gothic" w:hAnsi="Century Gothic"/>
      <w:b/>
      <w:caps/>
      <w:color w:val="44546a" w:themeColor="text2"/>
      <w:sz w:val="28"/>
      <w:szCs w:val="20"/>
    </w:rPr>
  </w:style>
  <w:style w:type="paragraph" w:styleId="Heading2">
    <w:name w:val="heading 2"/>
    <w:basedOn w:val="Normal"/>
    <w:next w:val="Normal"/>
    <w:qFormat/>
    <w:pPr>
      <w:jc w:val="right"/>
      <w:outlineLvl w:val="1"/>
    </w:pPr>
    <w:rPr>
      <w:sz w:val="20"/>
    </w:rPr>
  </w:style>
  <w:style w:type="paragraph" w:styleId="Heading3">
    <w:name w:val="heading 3"/>
    <w:basedOn w:val="Normal"/>
    <w:next w:val="Normal"/>
    <w:link w:val="Heading3Char"/>
    <w:qFormat/>
    <w:pPr>
      <w:jc w:val="center"/>
      <w:outlineLvl w:val="2"/>
    </w:pPr>
    <w:rPr>
      <w:rFonts w:asciiTheme="majorHAnsi" w:hAnsiTheme="majorHAnsi"/>
      <w:b/>
      <w:caps/>
    </w:rPr>
  </w:style>
  <w:style w:type="paragraph" w:styleId="Heading4">
    <w:name w:val="heading 4"/>
    <w:basedOn w:val="Normal"/>
    <w:next w:val="Normal"/>
    <w:link w:val="Heading4Char"/>
    <w:qFormat/>
    <w:pPr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qFormat/>
    <w:pPr>
      <w:jc w:val="center"/>
      <w:outlineLvl w:val="4"/>
    </w:pPr>
    <w:rPr>
      <w:rFonts w:asciiTheme="majorHAnsi" w:hAnsiTheme="majorHAnsi"/>
      <w:b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3Char" w:customStyle="1">
    <w:name w:val="Heading 3 Char"/>
    <w:basedOn w:val="DefaultParagraphFont"/>
    <w:link w:val="Heading3"/>
    <w:rPr>
      <w:rFonts w:asciiTheme="majorHAnsi" w:hAnsiTheme="majorHAnsi"/>
      <w:b/>
      <w:caps/>
      <w:sz w:val="16"/>
      <w:szCs w:val="24"/>
    </w:rPr>
  </w:style>
  <w:style w:type="paragraph" w:styleId="BalloonText">
    <w:name w:val="Balloon Text"/>
    <w:basedOn w:val="Normal"/>
    <w:semiHidden/>
    <w:rPr>
      <w:rFonts w:cs="Tahoma"/>
      <w:szCs w:val="16"/>
    </w:rPr>
  </w:style>
  <w:style w:type="character" w:styleId="Heading4Char" w:customStyle="1">
    <w:name w:val="Heading 4 Char"/>
    <w:basedOn w:val="DefaultParagraphFont"/>
    <w:link w:val="Heading4"/>
    <w:rPr>
      <w:rFonts w:asciiTheme="minorHAnsi" w:hAnsiTheme="minorHAnsi"/>
      <w:b/>
      <w:sz w:val="16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/>
      <w:b/>
      <w:sz w:val="16"/>
      <w:szCs w:val="24"/>
    </w:rPr>
  </w:style>
  <w:style w:type="paragraph" w:styleId="Terms" w:customStyle="1">
    <w:name w:val="Terms"/>
    <w:basedOn w:val="Normal"/>
    <w:unhideWhenUsed/>
    <w:qFormat/>
    <w:pPr>
      <w:spacing w:before="4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Date">
    <w:name w:val="Date"/>
    <w:basedOn w:val="Normal"/>
    <w:next w:val="Normal"/>
    <w:link w:val="DateChar"/>
    <w:qFormat/>
    <w:rPr>
      <w:sz w:val="20"/>
    </w:rPr>
  </w:style>
  <w:style w:type="character" w:styleId="DateChar" w:customStyle="1">
    <w:name w:val="Date Char"/>
    <w:basedOn w:val="DefaultParagraphFont"/>
    <w:link w:val="Date"/>
    <w:rPr>
      <w:rFonts w:asciiTheme="minorHAnsi" w:hAnsiTheme="minorHAnsi"/>
      <w:szCs w:val="24"/>
    </w:rPr>
  </w:style>
  <w:style w:type="table" w:styleId="TableGrid">
    <w:name w:val="Table Grid"/>
    <w:basedOn w:val="TableNormal"/>
    <w:uiPriority w:val="99"/>
    <w:rPr>
      <w:rFonts w:asciiTheme="minorHAnsi" w:hAnsiTheme="minorHAnsi" w:eastAsiaTheme="minorHAnsi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/>
      <w:u w:val="single"/>
    </w:rPr>
  </w:style>
  <w:style w:type="paragraph" w:styleId="msonormal0" w:customStyle="1">
    <w:name w:val="msonormal"/>
    <w:basedOn w:val="Normal"/>
    <w:pPr>
      <w:spacing w:after="100" w:afterAutospacing="1" w:before="100" w:beforeAutospacing="1"/>
    </w:pPr>
    <w:rPr>
      <w:rFonts w:ascii="Times New Roman" w:hAnsi="Times New Roman"/>
      <w:sz w:val="24"/>
    </w:rPr>
  </w:style>
  <w:style w:type="paragraph" w:styleId="xl64" w:customStyle="1">
    <w:name w:val="xl64"/>
    <w:basedOn w:val="Normal"/>
    <w:pPr>
      <w:spacing w:after="100" w:afterAutospacing="1" w:before="100" w:beforeAutospacing="1"/>
    </w:pPr>
    <w:rPr>
      <w:rFonts w:ascii="Times New Roman" w:hAnsi="Times New Roman"/>
      <w:sz w:val="24"/>
    </w:rPr>
  </w:style>
  <w:style w:type="paragraph" w:styleId="xl65" w:customStyle="1">
    <w:name w:val="xl65"/>
    <w:basedOn w:val="Normal"/>
    <w:pPr>
      <w:spacing w:after="100" w:afterAutospacing="1" w:before="100" w:beforeAutospacing="1"/>
    </w:pPr>
    <w:rPr>
      <w:rFonts w:ascii="Times New Roman" w:hAnsi="Times New Roman"/>
      <w:b/>
      <w:bCs/>
      <w:sz w:val="24"/>
    </w:rPr>
  </w:style>
  <w:style w:type="paragraph" w:styleId="xl66" w:customStyle="1">
    <w:name w:val="xl66"/>
    <w:basedOn w:val="Normal"/>
    <w:pPr>
      <w:spacing w:after="100" w:afterAutospacing="1" w:before="100" w:beforeAutospacing="1"/>
      <w:ind w:firstLine="100"/>
    </w:pPr>
    <w:rPr>
      <w:rFonts w:ascii="Times New Roman" w:hAnsi="Times New Roman"/>
      <w:szCs w:val="16"/>
    </w:rPr>
  </w:style>
  <w:style w:type="paragraph" w:styleId="xl67" w:customStyle="1">
    <w:name w:val="xl67"/>
    <w:basedOn w:val="Normal"/>
    <w:pPr>
      <w:spacing w:after="100" w:afterAutospacing="1" w:before="100" w:beforeAutospacing="1"/>
    </w:pPr>
    <w:rPr>
      <w:rFonts w:ascii="Times New Roman" w:hAnsi="Times New Roman"/>
      <w:szCs w:val="16"/>
    </w:rPr>
  </w:style>
  <w:style w:type="paragraph" w:styleId="xl68" w:customStyle="1">
    <w:name w:val="xl68"/>
    <w:basedOn w:val="Normal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222b35"/>
      <w:spacing w:after="100" w:afterAutospacing="1" w:before="100" w:beforeAutospacing="1"/>
    </w:pPr>
    <w:rPr>
      <w:rFonts w:ascii="Century Gothic" w:hAnsi="Century Gothic"/>
      <w:b/>
      <w:bCs/>
      <w:color w:val="ffffff"/>
      <w:szCs w:val="16"/>
    </w:rPr>
  </w:style>
  <w:style w:type="paragraph" w:styleId="xl69" w:customStyle="1">
    <w:name w:val="xl69"/>
    <w:basedOn w:val="Normal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595959"/>
      <w:spacing w:after="100" w:afterAutospacing="1" w:before="100" w:beforeAutospacing="1"/>
      <w:jc w:val="center"/>
    </w:pPr>
    <w:rPr>
      <w:rFonts w:ascii="Century Gothic" w:hAnsi="Century Gothic"/>
      <w:b/>
      <w:bCs/>
      <w:color w:val="ffffff"/>
      <w:szCs w:val="16"/>
    </w:rPr>
  </w:style>
  <w:style w:type="paragraph" w:styleId="xl70" w:customStyle="1">
    <w:name w:val="xl70"/>
    <w:basedOn w:val="Normal"/>
    <w:pPr>
      <w:spacing w:after="100" w:afterAutospacing="1" w:before="100" w:beforeAutospacing="1"/>
    </w:pPr>
    <w:rPr>
      <w:rFonts w:ascii="Times New Roman" w:hAnsi="Times New Roman"/>
      <w:b/>
      <w:bCs/>
      <w:szCs w:val="16"/>
    </w:rPr>
  </w:style>
  <w:style w:type="paragraph" w:styleId="xl71" w:customStyle="1">
    <w:name w:val="xl71"/>
    <w:basedOn w:val="Normal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pacing w:after="100" w:afterAutospacing="1" w:before="100" w:beforeAutospacing="1"/>
    </w:pPr>
    <w:rPr>
      <w:rFonts w:ascii="Century Gothic" w:hAnsi="Century Gothic"/>
      <w:szCs w:val="16"/>
    </w:rPr>
  </w:style>
  <w:style w:type="paragraph" w:styleId="xl72" w:customStyle="1">
    <w:name w:val="xl72"/>
    <w:basedOn w:val="Normal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f2f2f2"/>
      <w:spacing w:after="100" w:afterAutospacing="1" w:before="100" w:beforeAutospacing="1"/>
      <w:jc w:val="center"/>
    </w:pPr>
    <w:rPr>
      <w:rFonts w:ascii="Century Gothic" w:hAnsi="Century Gothic"/>
      <w:szCs w:val="16"/>
    </w:rPr>
  </w:style>
  <w:style w:type="paragraph" w:styleId="xl73" w:customStyle="1">
    <w:name w:val="xl73"/>
    <w:basedOn w:val="Normal"/>
    <w:pPr>
      <w:spacing w:after="100" w:afterAutospacing="1" w:before="100" w:beforeAutospacing="1"/>
    </w:pPr>
    <w:rPr>
      <w:rFonts w:ascii="Times New Roman" w:hAnsi="Times New Roman"/>
      <w:szCs w:val="16"/>
    </w:rPr>
  </w:style>
  <w:style w:type="paragraph" w:styleId="xl74" w:customStyle="1">
    <w:name w:val="xl74"/>
    <w:basedOn w:val="Normal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f2f2f2"/>
      <w:spacing w:after="100" w:afterAutospacing="1" w:before="100" w:beforeAutospacing="1"/>
      <w:jc w:val="center"/>
    </w:pPr>
    <w:rPr>
      <w:rFonts w:ascii="Century Gothic" w:hAnsi="Century Gothic"/>
      <w:szCs w:val="16"/>
    </w:rPr>
  </w:style>
  <w:style w:type="paragraph" w:styleId="xl75" w:customStyle="1">
    <w:name w:val="xl75"/>
    <w:basedOn w:val="Normal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7"/>
      </w:pBdr>
      <w:shd w:val="clear" w:color="000000" w:fill="222b35"/>
      <w:spacing w:after="100" w:afterAutospacing="1" w:before="100" w:beforeAutospacing="1"/>
      <w:ind w:firstLine="100"/>
      <w:jc w:val="right"/>
    </w:pPr>
    <w:rPr>
      <w:rFonts w:ascii="Century Gothic" w:hAnsi="Century Gothic"/>
      <w:b/>
      <w:bCs/>
      <w:color w:val="ffffff"/>
      <w:szCs w:val="16"/>
    </w:rPr>
  </w:style>
  <w:style w:type="paragraph" w:styleId="xl76" w:customStyle="1">
    <w:name w:val="xl76"/>
    <w:basedOn w:val="Normal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f2f2f2"/>
      <w:spacing w:after="100" w:afterAutospacing="1" w:before="100" w:beforeAutospacing="1"/>
    </w:pPr>
    <w:rPr>
      <w:rFonts w:ascii="Century Gothic" w:hAnsi="Century Gothic"/>
      <w:szCs w:val="16"/>
    </w:rPr>
  </w:style>
  <w:style w:type="paragraph" w:styleId="xl77" w:customStyle="1">
    <w:name w:val="xl77"/>
    <w:basedOn w:val="Normal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222b35"/>
      <w:spacing w:after="100" w:afterAutospacing="1" w:before="100" w:beforeAutospacing="1"/>
      <w:jc w:val="center"/>
    </w:pPr>
    <w:rPr>
      <w:rFonts w:ascii="Century Gothic" w:hAnsi="Century Gothic"/>
      <w:b/>
      <w:bCs/>
      <w:color w:val="ffffff"/>
      <w:szCs w:val="16"/>
    </w:rPr>
  </w:style>
  <w:style w:type="paragraph" w:styleId="xl78" w:customStyle="1">
    <w:name w:val="xl78"/>
    <w:basedOn w:val="Normal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acb9ca"/>
      <w:spacing w:after="100" w:afterAutospacing="1" w:before="100" w:beforeAutospacing="1"/>
    </w:pPr>
    <w:rPr>
      <w:rFonts w:ascii="Century Gothic" w:hAnsi="Century Gothic"/>
      <w:b/>
      <w:bCs/>
      <w:szCs w:val="16"/>
    </w:rPr>
  </w:style>
  <w:style w:type="paragraph" w:styleId="xl79" w:customStyle="1">
    <w:name w:val="xl79"/>
    <w:basedOn w:val="Normal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acb9ca"/>
      <w:spacing w:after="100" w:afterAutospacing="1" w:before="100" w:beforeAutospacing="1"/>
    </w:pPr>
    <w:rPr>
      <w:rFonts w:ascii="Century Gothic" w:hAnsi="Century Gothic"/>
      <w:b/>
      <w:bCs/>
      <w:szCs w:val="16"/>
    </w:rPr>
  </w:style>
  <w:style w:type="paragraph" w:styleId="xl80" w:customStyle="1">
    <w:name w:val="xl80"/>
    <w:basedOn w:val="Normal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d9d9d9"/>
      <w:spacing w:after="100" w:afterAutospacing="1" w:before="100" w:beforeAutospacing="1"/>
    </w:pPr>
    <w:rPr>
      <w:rFonts w:ascii="Century Gothic" w:hAnsi="Century Gothic"/>
      <w:b/>
      <w:bCs/>
      <w:szCs w:val="16"/>
    </w:rPr>
  </w:style>
  <w:style w:type="paragraph" w:styleId="xl81" w:customStyle="1">
    <w:name w:val="xl81"/>
    <w:basedOn w:val="Normal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d9d9d9"/>
      <w:spacing w:after="100" w:afterAutospacing="1" w:before="100" w:beforeAutospacing="1"/>
    </w:pPr>
    <w:rPr>
      <w:rFonts w:ascii="Century Gothic" w:hAnsi="Century Gothic"/>
      <w:b/>
      <w:bCs/>
      <w:szCs w:val="16"/>
    </w:rPr>
  </w:style>
  <w:style w:type="paragraph" w:styleId="xl82" w:customStyle="1">
    <w:name w:val="xl82"/>
    <w:basedOn w:val="Normal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pacing w:after="100" w:afterAutospacing="1" w:before="100" w:beforeAutospacing="1"/>
    </w:pPr>
    <w:rPr>
      <w:rFonts w:ascii="Century Gothic" w:hAnsi="Century Gothic"/>
      <w:szCs w:val="16"/>
    </w:rPr>
  </w:style>
  <w:style w:type="paragraph" w:styleId="xl83" w:customStyle="1">
    <w:name w:val="xl83"/>
    <w:basedOn w:val="Normal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d6dce4"/>
      <w:spacing w:after="100" w:afterAutospacing="1" w:before="100" w:beforeAutospacing="1"/>
    </w:pPr>
    <w:rPr>
      <w:rFonts w:ascii="Century Gothic" w:hAnsi="Century Gothic"/>
      <w:szCs w:val="16"/>
    </w:rPr>
  </w:style>
  <w:style w:type="paragraph" w:styleId="xl84" w:customStyle="1">
    <w:name w:val="xl84"/>
    <w:basedOn w:val="Normal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d6dce4"/>
      <w:spacing w:after="100" w:afterAutospacing="1" w:before="100" w:beforeAutospacing="1"/>
    </w:pPr>
    <w:rPr>
      <w:rFonts w:ascii="Century Gothic" w:hAnsi="Century Gothic"/>
      <w:szCs w:val="16"/>
    </w:rPr>
  </w:style>
  <w:style w:type="paragraph" w:styleId="xl85" w:customStyle="1">
    <w:name w:val="xl85"/>
    <w:basedOn w:val="Normal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f2f2f2"/>
      <w:spacing w:after="100" w:afterAutospacing="1" w:before="100" w:beforeAutospacing="1"/>
    </w:pPr>
    <w:rPr>
      <w:rFonts w:ascii="Century Gothic" w:hAnsi="Century Gothic"/>
      <w:szCs w:val="16"/>
    </w:rPr>
  </w:style>
  <w:style w:type="paragraph" w:styleId="xl86" w:customStyle="1">
    <w:name w:val="xl86"/>
    <w:basedOn w:val="Normal"/>
    <w:pPr>
      <w:pBdr>
        <w:top w:val="single" w:color="bfbfbf" w:sz="4" w:space="0"/>
        <w:left w:val="single" w:color="bfbfbf" w:sz="4" w:space="0"/>
        <w:bottom w:val="single" w:color="bfbfbf" w:sz="8" w:space="0"/>
        <w:right w:val="single" w:color="bfbfbf" w:sz="4" w:space="0"/>
      </w:pBdr>
      <w:spacing w:after="100" w:afterAutospacing="1" w:before="100" w:beforeAutospacing="1"/>
    </w:pPr>
    <w:rPr>
      <w:rFonts w:ascii="Century Gothic" w:hAnsi="Century Gothic"/>
      <w:szCs w:val="16"/>
    </w:rPr>
  </w:style>
  <w:style w:type="paragraph" w:styleId="xl87" w:customStyle="1">
    <w:name w:val="xl87"/>
    <w:basedOn w:val="Normal"/>
    <w:pPr>
      <w:pBdr>
        <w:top w:val="single" w:color="bfbfbf" w:sz="4" w:space="0"/>
        <w:left w:val="single" w:color="bfbfbf" w:sz="4" w:space="0"/>
        <w:bottom w:val="single" w:color="bfbfbf" w:sz="8" w:space="0"/>
        <w:right w:val="single" w:color="bfbfbf" w:sz="4" w:space="0"/>
      </w:pBdr>
      <w:spacing w:after="100" w:afterAutospacing="1" w:before="100" w:beforeAutospacing="1"/>
    </w:pPr>
    <w:rPr>
      <w:rFonts w:ascii="Century Gothic" w:hAnsi="Century Gothic"/>
      <w:szCs w:val="16"/>
    </w:rPr>
  </w:style>
  <w:style w:type="paragraph" w:styleId="xl88" w:customStyle="1">
    <w:name w:val="xl88"/>
    <w:basedOn w:val="Normal"/>
    <w:pPr>
      <w:pBdr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d6dce4"/>
      <w:spacing w:after="100" w:afterAutospacing="1" w:before="100" w:beforeAutospacing="1"/>
    </w:pPr>
    <w:rPr>
      <w:rFonts w:ascii="Century Gothic" w:hAnsi="Century Gothic"/>
      <w:szCs w:val="16"/>
    </w:rPr>
  </w:style>
  <w:style w:type="paragraph" w:styleId="xl89" w:customStyle="1">
    <w:name w:val="xl89"/>
    <w:basedOn w:val="Normal"/>
    <w:pPr>
      <w:pBdr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d6dce4"/>
      <w:spacing w:after="100" w:afterAutospacing="1" w:before="100" w:beforeAutospacing="1"/>
    </w:pPr>
    <w:rPr>
      <w:rFonts w:ascii="Century Gothic" w:hAnsi="Century Gothic"/>
      <w:szCs w:val="16"/>
    </w:rPr>
  </w:style>
  <w:style w:type="paragraph" w:styleId="xl90" w:customStyle="1">
    <w:name w:val="xl90"/>
    <w:basedOn w:val="Normal"/>
    <w:pPr>
      <w:pBdr>
        <w:top w:val="single" w:color="bfbfbf" w:sz="4" w:space="0"/>
        <w:left w:val="single" w:color="bfbfbf" w:sz="4" w:space="0"/>
        <w:right w:val="single" w:color="bfbfbf" w:sz="4" w:space="0"/>
      </w:pBdr>
      <w:spacing w:after="100" w:afterAutospacing="1" w:before="100" w:beforeAutospacing="1"/>
    </w:pPr>
    <w:rPr>
      <w:rFonts w:ascii="Century Gothic" w:hAnsi="Century Gothic"/>
      <w:szCs w:val="16"/>
    </w:rPr>
  </w:style>
  <w:style w:type="paragraph" w:styleId="xl91" w:customStyle="1">
    <w:name w:val="xl91"/>
    <w:basedOn w:val="Normal"/>
    <w:pPr>
      <w:pBdr>
        <w:top w:val="single" w:color="bfbfbf" w:sz="4" w:space="0"/>
        <w:left w:val="single" w:color="bfbfbf" w:sz="4" w:space="0"/>
        <w:right w:val="single" w:color="bfbfbf" w:sz="4" w:space="0"/>
      </w:pBdr>
      <w:spacing w:after="100" w:afterAutospacing="1" w:before="100" w:beforeAutospacing="1"/>
    </w:pPr>
    <w:rPr>
      <w:rFonts w:ascii="Century Gothic" w:hAnsi="Century Gothic"/>
      <w:szCs w:val="16"/>
    </w:rPr>
  </w:style>
  <w:style w:type="paragraph" w:styleId="xl92" w:customStyle="1">
    <w:name w:val="xl92"/>
    <w:basedOn w:val="Normal"/>
    <w:pPr>
      <w:pBdr>
        <w:top w:val="single" w:color="bfbfbf" w:sz="4" w:space="0"/>
        <w:left w:val="single" w:color="bfbfbf" w:sz="4" w:space="0"/>
        <w:bottom w:val="single" w:color="bfbfbf" w:sz="8" w:space="0"/>
        <w:right w:val="single" w:color="bfbfbf" w:sz="4" w:space="0"/>
      </w:pBdr>
      <w:shd w:val="clear" w:color="000000" w:fill="f2f2f2"/>
      <w:spacing w:after="100" w:afterAutospacing="1" w:before="100" w:beforeAutospacing="1"/>
    </w:pPr>
    <w:rPr>
      <w:rFonts w:ascii="Century Gothic" w:hAnsi="Century Gothic"/>
      <w:szCs w:val="16"/>
    </w:rPr>
  </w:style>
  <w:style w:type="paragraph" w:styleId="xl93" w:customStyle="1">
    <w:name w:val="xl93"/>
    <w:basedOn w:val="Normal"/>
    <w:pPr>
      <w:pBdr>
        <w:top w:val="single" w:color="bfbfbf" w:sz="4" w:space="0"/>
        <w:left w:val="single" w:color="bfbfbf" w:sz="4" w:space="0"/>
        <w:bottom w:val="single" w:color="bfbfbf" w:sz="8" w:space="0"/>
        <w:right w:val="single" w:color="bfbfbf" w:sz="4" w:space="0"/>
      </w:pBdr>
      <w:shd w:val="clear" w:color="000000" w:fill="f2f2f2"/>
      <w:spacing w:after="100" w:afterAutospacing="1" w:before="100" w:beforeAutospacing="1"/>
    </w:pPr>
    <w:rPr>
      <w:rFonts w:ascii="Century Gothic" w:hAnsi="Century Gothic"/>
      <w:szCs w:val="16"/>
    </w:rPr>
  </w:style>
  <w:style w:type="paragraph" w:styleId="xl94" w:customStyle="1">
    <w:name w:val="xl94"/>
    <w:basedOn w:val="Normal"/>
    <w:pPr>
      <w:pBdr>
        <w:top w:val="single" w:color="bfbfbf" w:sz="4" w:space="0"/>
        <w:left w:val="single" w:color="bfbfbf" w:sz="4" w:space="0"/>
        <w:bottom w:val="single" w:color="bfbfbf" w:sz="8" w:space="0"/>
        <w:right w:val="single" w:color="bfbfbf" w:sz="4" w:space="0"/>
      </w:pBdr>
      <w:shd w:val="clear" w:color="000000" w:fill="d6dce4"/>
      <w:spacing w:after="100" w:afterAutospacing="1" w:before="100" w:beforeAutospacing="1"/>
    </w:pPr>
    <w:rPr>
      <w:rFonts w:ascii="Century Gothic" w:hAnsi="Century Gothic"/>
      <w:szCs w:val="16"/>
    </w:rPr>
  </w:style>
  <w:style w:type="paragraph" w:styleId="xl95" w:customStyle="1">
    <w:name w:val="xl95"/>
    <w:basedOn w:val="Normal"/>
    <w:pPr>
      <w:pBdr>
        <w:top w:val="single" w:color="bfbfbf" w:sz="4" w:space="0"/>
        <w:left w:val="single" w:color="bfbfbf" w:sz="4" w:space="0"/>
        <w:bottom w:val="single" w:color="bfbfbf" w:sz="8" w:space="0"/>
        <w:right w:val="single" w:color="bfbfbf" w:sz="4" w:space="0"/>
      </w:pBdr>
      <w:shd w:val="clear" w:color="000000" w:fill="d6dce4"/>
      <w:spacing w:after="100" w:afterAutospacing="1" w:before="100" w:beforeAutospacing="1"/>
    </w:pPr>
    <w:rPr>
      <w:rFonts w:ascii="Century Gothic" w:hAnsi="Century Gothic"/>
      <w:szCs w:val="16"/>
    </w:rPr>
  </w:style>
  <w:style w:type="paragraph" w:styleId="xl96" w:customStyle="1">
    <w:name w:val="xl96"/>
    <w:basedOn w:val="Normal"/>
    <w:pPr>
      <w:pBdr>
        <w:top w:val="single" w:color="bfbfbf" w:sz="4" w:space="0"/>
        <w:left w:val="single" w:color="bfbfbf" w:sz="4" w:space="0"/>
        <w:bottom w:val="single" w:color="bfbfbf" w:sz="8" w:space="0"/>
        <w:right w:val="single" w:color="bfbfbf" w:sz="4" w:space="0"/>
      </w:pBdr>
      <w:shd w:val="clear" w:color="000000" w:fill="d6dce4"/>
      <w:spacing w:after="100" w:afterAutospacing="1" w:before="100" w:beforeAutospacing="1"/>
    </w:pPr>
    <w:rPr>
      <w:rFonts w:ascii="Century Gothic" w:hAnsi="Century Gothic"/>
      <w:szCs w:val="16"/>
    </w:rPr>
  </w:style>
  <w:style w:type="paragraph" w:styleId="xl97" w:customStyle="1">
    <w:name w:val="xl97"/>
    <w:basedOn w:val="Normal"/>
    <w:pPr>
      <w:pBdr>
        <w:top w:val="single" w:color="bfbfbf" w:sz="4" w:space="0"/>
        <w:left w:val="single" w:color="bfbfbf" w:sz="4" w:space="0"/>
        <w:bottom w:val="single" w:color="bfbfbf" w:sz="8" w:space="0"/>
        <w:right w:val="single" w:color="bfbfbf" w:sz="4" w:space="0"/>
      </w:pBdr>
      <w:shd w:val="clear" w:color="000000" w:fill="d6dce4"/>
      <w:spacing w:after="100" w:afterAutospacing="1" w:before="100" w:beforeAutospacing="1"/>
    </w:pPr>
    <w:rPr>
      <w:rFonts w:ascii="Century Gothic" w:hAnsi="Century Gothic"/>
      <w:szCs w:val="16"/>
    </w:rPr>
  </w:style>
  <w:style w:type="paragraph" w:styleId="NormalWeb">
    <w:name w:val="Normal (Web)"/>
    <w:basedOn w:val="Normal"/>
    <w:uiPriority w:val="99"/>
    <w:unhideWhenUsed/>
    <w:pPr>
      <w:spacing w:after="100" w:afterAutospacing="1" w:before="100" w:beforeAutospacing="1"/>
    </w:pPr>
    <w:rPr>
      <w:rFonts w:ascii="Times New Roman" w:hAnsi="Times New Roman" w:eastAsiaTheme="minorEastAsia"/>
      <w:sz w:val="24"/>
    </w:rPr>
  </w:style>
  <w:style w:type="paragraph" w:styleId="TableHeading" w:customStyle="1">
    <w:name w:val="Table Heading"/>
    <w:pPr>
      <w:spacing w:after="60" w:before="60"/>
    </w:pPr>
    <w:rPr>
      <w:rFonts w:ascii="Arial" w:hAnsi="Arial" w:cs="Arial"/>
      <w:b/>
      <w:sz w:val="22"/>
      <w:szCs w:val="22"/>
    </w:rPr>
  </w:style>
  <w:style w:type="character" w:styleId="TableTextChar" w:customStyle="1">
    <w:name w:val="Table Text Char"/>
    <w:link w:val="TableText"/>
    <w:locked/>
    <w:rPr>
      <w:rFonts w:ascii="Arial" w:hAnsi="Arial" w:cs="Arial"/>
    </w:rPr>
  </w:style>
  <w:style w:type="paragraph" w:styleId="TableText" w:customStyle="1">
    <w:name w:val="Table Text"/>
    <w:link w:val="TableTextChar"/>
    <w:qFormat/>
    <w:pPr>
      <w:spacing w:after="60" w:before="60"/>
    </w:pPr>
    <w:rPr>
      <w:rFonts w:ascii="Arial" w:hAnsi="Arial" w:cs="Arial"/>
    </w:rPr>
  </w:style>
  <w:style w:type="paragraph" w:styleId="Guideline" w:customStyle="1">
    <w:name w:val="Guideline"/>
    <w:basedOn w:val="Normal"/>
    <w:qFormat/>
    <w:pPr>
      <w:spacing w:after="200" w:before="120" w:line="360" w:lineRule="auto"/>
    </w:pPr>
    <w:rPr>
      <w:rFonts w:ascii="Arial" w:hAnsi="Arial" w:eastAsia="Calibri"/>
      <w:color w:val="1f3864" w:themeColor="accent1" w:themeShade="80"/>
      <w:sz w:val="22"/>
      <w:szCs w:val="22"/>
      <w:lang w:eastAsia="en-AU"/>
    </w:rPr>
  </w:style>
  <w:style w:type="paragraph" w:styleId="TOC1">
    <w:name w:val="toc 1"/>
    <w:basedOn w:val="Normal"/>
    <w:next w:val="Normal"/>
    <w:autoRedefine/>
    <w:uiPriority w:val="39"/>
    <w:qFormat/>
    <w:pPr>
      <w:spacing w:after="120" w:before="120"/>
    </w:pPr>
    <w:rPr>
      <w:rFonts w:cstheme="minorHAnsi"/>
      <w:b/>
      <w:bCs/>
      <w:caps/>
      <w:sz w:val="20"/>
      <w:szCs w:val="20"/>
    </w:rPr>
  </w:style>
  <w:style w:type="paragraph" w:styleId="HeadingNoTOC" w:customStyle="1">
    <w:name w:val="Heading NoTOC"/>
    <w:basedOn w:val="Normal"/>
    <w:next w:val="Normal"/>
    <w:pPr>
      <w:spacing w:before="240" w:line="360" w:lineRule="auto"/>
    </w:pPr>
    <w:rPr>
      <w:rFonts w:ascii="Arial" w:hAnsi="Arial" w:cs="Arial"/>
      <w:sz w:val="28"/>
      <w:szCs w:val="48"/>
      <w:lang w:eastAsia="en-AU"/>
    </w:rPr>
  </w:style>
  <w:style w:type="paragraph" w:styleId="Title">
    <w:name w:val="Title"/>
    <w:basedOn w:val="Normal"/>
    <w:next w:val="Normal"/>
    <w:link w:val="TitleChar"/>
    <w:qFormat/>
    <w:pPr>
      <w:spacing w:after="60" w:before="240" w:line="360" w:lineRule="auto"/>
      <w:jc w:val="center"/>
      <w:outlineLvl w:val="0"/>
    </w:pPr>
    <w:rPr>
      <w:rFonts w:ascii="Arial" w:hAnsi="Arial" w:cs="Arial" w:eastAsiaTheme="majorEastAsia"/>
      <w:b/>
      <w:bCs/>
      <w:kern w:val="28"/>
      <w:sz w:val="40"/>
      <w:szCs w:val="40"/>
      <w:lang w:eastAsia="en-AU"/>
    </w:rPr>
  </w:style>
  <w:style w:type="character" w:styleId="TitleChar" w:customStyle="1">
    <w:name w:val="Title Char"/>
    <w:basedOn w:val="DefaultParagraphFont"/>
    <w:link w:val="Title"/>
    <w:rPr>
      <w:rFonts w:ascii="Arial" w:hAnsi="Arial" w:cs="Arial" w:eastAsiaTheme="majorEastAsia"/>
      <w:b/>
      <w:bCs/>
      <w:kern w:val="28"/>
      <w:sz w:val="40"/>
      <w:szCs w:val="40"/>
      <w:lang w:val="es-419" w:eastAsia="en-AU"/>
    </w:rPr>
  </w:style>
  <w:style w:type="paragraph" w:styleId="TOC2">
    <w:name w:val="toc 2"/>
    <w:basedOn w:val="Normal"/>
    <w:next w:val="Normal"/>
    <w:autoRedefine/>
    <w:uiPriority w:val="39"/>
    <w:qFormat/>
    <w:pPr>
      <w:ind w:left="160"/>
    </w:pPr>
    <w:rPr>
      <w:rFonts w:cstheme="minorHAnsi"/>
      <w:smallCaps/>
      <w:sz w:val="20"/>
      <w:szCs w:val="20"/>
    </w:rPr>
  </w:style>
  <w:style w:type="paragraph" w:styleId="TableHeader" w:customStyle="1">
    <w:name w:val="Table Header"/>
    <w:basedOn w:val="Normal"/>
    <w:qFormat/>
    <w:pPr>
      <w:spacing w:after="200" w:before="240" w:line="276" w:lineRule="auto"/>
    </w:pPr>
    <w:rPr>
      <w:rFonts w:ascii="Arial" w:hAnsi="Arial"/>
      <w:b/>
      <w:sz w:val="22"/>
      <w:lang w:eastAsia="en-AU"/>
    </w:rPr>
  </w:style>
  <w:style w:type="paragraph" w:styleId="ListParagraph">
    <w:name w:val="List Paragraph"/>
    <w:basedOn w:val="Normal"/>
    <w:uiPriority w:val="34"/>
    <w:qFormat/>
    <w:pPr>
      <w:spacing w:before="240" w:line="360" w:lineRule="auto"/>
      <w:ind w:left="720"/>
      <w:contextualSpacing w:val="true"/>
    </w:pPr>
    <w:rPr>
      <w:rFonts w:ascii="Arial" w:hAnsi="Arial"/>
      <w:sz w:val="22"/>
      <w:lang w:eastAsia="en-AU"/>
    </w:rPr>
  </w:style>
  <w:style w:type="character" w:styleId="1" w:customStyle="1">
    <w:name w:val="Неразрешенное упоминание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pPr>
      <w:keepNext w:val="true"/>
      <w:keepLines w:val="true"/>
      <w:spacing w:before="480" w:line="276" w:lineRule="auto"/>
      <w:outlineLvl w:val="9"/>
    </w:pPr>
    <w:rPr>
      <w:rFonts w:eastAsiaTheme="majorEastAsia" w:cstheme="majorBidi"/>
      <w:bCs/>
      <w:caps w:val="0"/>
      <w:color w:val="2f5496" w:themeColor="accent1" w:themeShade="BF"/>
      <w:szCs w:val="28"/>
    </w:rPr>
  </w:style>
  <w:style w:type="paragraph" w:styleId="TOC3">
    <w:name w:val="toc 3"/>
    <w:basedOn w:val="Normal"/>
    <w:next w:val="Normal"/>
    <w:autoRedefine/>
    <w:uiPriority w:val="39"/>
    <w:unhideWhenUsed/>
    <w:pPr>
      <w:ind w:left="320"/>
    </w:pPr>
    <w:rPr>
      <w:rFonts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nhideWhenUsed/>
    <w:pPr>
      <w:ind w:left="48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nhideWhenUsed/>
    <w:pPr>
      <w:ind w:left="64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nhideWhenUsed/>
    <w:pPr>
      <w:ind w:left="8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nhideWhenUsed/>
    <w:pPr>
      <w:ind w:left="96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nhideWhenUsed/>
    <w:pPr>
      <w:ind w:left="112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nhideWhenUsed/>
    <w:pPr>
      <w:ind w:left="1280"/>
    </w:pPr>
    <w:rPr>
      <w:rFonts w:cstheme="minorHAnsi"/>
      <w:sz w:val="18"/>
      <w:szCs w:val="18"/>
    </w:rPr>
  </w:style>
  <w:style w:type="paragraph" w:styleId="NoSpacing">
    <w:name w:val="No Spacing"/>
    <w:link w:val="NoSpacingChar"/>
    <w:uiPriority w:val="1"/>
    <w:qFormat/>
    <w:rPr>
      <w:rFonts w:asciiTheme="minorHAnsi" w:hAnsiTheme="minorHAnsi" w:eastAsiaTheme="minorEastAsia" w:cstheme="minorBidi"/>
      <w:sz w:val="22"/>
      <w:szCs w:val="22"/>
    </w:rPr>
  </w:style>
  <w:style w:type="character" w:styleId="NoSpacingChar" w:customStyle="1">
    <w:name w:val="No Spacing Char"/>
    <w:basedOn w:val="DefaultParagraphFont"/>
    <w:link w:val="NoSpacing"/>
    <w:uiPriority w:val="1"/>
    <w:rPr>
      <w:rFonts w:asciiTheme="minorHAnsi" w:hAnsiTheme="minorHAnsi" w:eastAsiaTheme="minorEastAsia" w:cstheme="minorBidi"/>
      <w:sz w:val="22"/>
      <w:szCs w:val="22"/>
    </w:rPr>
  </w:style>
  <w:style w:type="paragraph" w:styleId="Footer">
    <w:name w:val="footer"/>
    <w:basedOn w:val="Normal"/>
    <w:link w:val="FooterChar"/>
    <w:unhideWhenUsed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rPr>
      <w:rFonts w:asciiTheme="minorHAnsi" w:hAnsiTheme="minorHAnsi"/>
      <w:sz w:val="16"/>
      <w:szCs w:val="24"/>
    </w:rPr>
  </w:style>
  <w:style w:type="character" w:styleId="PageNumber">
    <w:name w:val="page number"/>
    <w:basedOn w:val="DefaultParagraphFont"/>
    <w:semiHidden/>
    <w:unhideWhenUsed/>
  </w:style>
  <w:style w:type="paragraph" w:styleId="Header">
    <w:name w:val="header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Pr>
      <w:rFonts w:asciiTheme="minorHAnsi" w:hAnsiTheme="minorHAnsi"/>
      <w:sz w:val="16"/>
      <w:szCs w:val="24"/>
    </w:rPr>
  </w:style>
  <w:style w:type="character" w:styleId="apple-converted-space" w:customStyle="1">
    <w:name w:val="apple-converted-space"/>
    <w:basedOn w:val="DefaultParagraphFont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customXml" Target="../customXml/item1.xml" /><Relationship Id="rId12" Type="http://schemas.openxmlformats.org/officeDocument/2006/relationships/customXml" Target="../customXml/item2.xml" /><Relationship Id="rId13" Type="http://schemas.openxmlformats.org/officeDocument/2006/relationships/customXml" Target="../customXml/item3.xml" /><Relationship Id="rId14" Type="http://schemas.openxmlformats.org/officeDocument/2006/relationships/customXml" Target="../customXml/item4.xml" /><Relationship Id="rId15" Type="http://schemas.openxmlformats.org/officeDocument/2006/relationships/hyperlink" Target="https://es.smartsheet.com/try-it?trp=27920&amp;utm_language=ES&amp;utm_source=template-word&amp;utm_medium=content&amp;utm_campaign=ic-Project+Documentation-word-27920-es&amp;lpa=ic+Project+Documentation+word+27920+es" TargetMode="External"/><Relationship Id="rId16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ajorFont>
      <a:minorFont>
        <a:latin typeface="Arial"/>
        <a:ea typeface="Arial"/>
        <a:cs typeface="Arial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4873beb7-5857-4685-be1f-d57550cc96cc" xsi:nil="true"/>
    <ApprovalStatus xmlns="4873beb7-5857-4685-be1f-d57550cc96cc">InProgress</ApprovalStatus>
    <MarketSpecific xmlns="4873beb7-5857-4685-be1f-d57550cc96cc">false</MarketSpecific>
    <LocComments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RecommendedHandoff xmlns="4873beb7-5857-4685-be1f-d57550cc96cc" xsi:nil="true"/>
    <BusinessGroup xmlns="4873beb7-5857-4685-be1f-d57550cc96cc" xsi:nil="true"/>
    <BlockPublish xmlns="4873beb7-5857-4685-be1f-d57550cc96cc">false</BlockPublish>
    <TPFriendlyName xmlns="4873beb7-5857-4685-be1f-d57550cc96cc" xsi:nil="true"/>
    <NumericId xmlns="4873beb7-5857-4685-be1f-d57550cc96cc" xsi:nil="true"/>
    <APEditor xmlns="4873beb7-5857-4685-be1f-d57550cc96cc">
      <UserInfo>
        <DisplayName/>
        <AccountId xsi:nil="true"/>
        <AccountType/>
      </UserInfo>
    </APEditor>
    <SourceTitle xmlns="4873beb7-5857-4685-be1f-d57550cc96cc">Bill of lading</SourceTitle>
    <OpenTemplate xmlns="4873beb7-5857-4685-be1f-d57550cc96cc">true</OpenTemplate>
    <UALocComments xmlns="4873beb7-5857-4685-be1f-d57550cc96cc">2007 Template UpLeveling Do Not HandOff</UALocComments>
    <ParentAssetId xmlns="4873beb7-5857-4685-be1f-d57550cc96cc" xsi:nil="true"/>
    <IntlLangReviewDate xmlns="4873beb7-5857-4685-be1f-d57550cc96cc" xsi:nil="true"/>
    <FeatureTagsTaxHTField0 xmlns="4873beb7-5857-4685-be1f-d57550cc96cc">
      <Terms xmlns="http://schemas.microsoft.com/office/infopath/2007/PartnerControls"/>
    </FeatureTagsTaxHTField0>
    <PublishStatusLookup xmlns="4873beb7-5857-4685-be1f-d57550cc96cc">
      <Value>1370089</Value>
      <Value>1531210</Value>
    </PublishStatusLookup>
    <Providers xmlns="4873beb7-5857-4685-be1f-d57550cc96cc" xsi:nil="true"/>
    <MachineTranslated xmlns="4873beb7-5857-4685-be1f-d57550cc96cc">false</MachineTranslated>
    <OriginalSourceMarket xmlns="4873beb7-5857-4685-be1f-d57550cc96cc" xsi:nil="true"/>
    <APDescription xmlns="4873beb7-5857-4685-be1f-d57550cc96cc" xsi:nil="true"/>
    <ClipArtFilename xmlns="4873beb7-5857-4685-be1f-d57550cc96cc" xsi:nil="true"/>
    <ContentItem xmlns="4873beb7-5857-4685-be1f-d57550cc96cc" xsi:nil="true"/>
    <TPInstallLocation xmlns="4873beb7-5857-4685-be1f-d57550cc96cc" xsi:nil="true"/>
    <PublishTargets xmlns="4873beb7-5857-4685-be1f-d57550cc96cc">OfficeOnline,OfficeOnlineVNext</PublishTargets>
    <TimesCloned xmlns="4873beb7-5857-4685-be1f-d57550cc96cc" xsi:nil="true"/>
    <AssetStart xmlns="4873beb7-5857-4685-be1f-d57550cc96cc">2011-12-15T21:13:00+00:00</AssetStart>
    <Provider xmlns="4873beb7-5857-4685-be1f-d57550cc96cc" xsi:nil="true"/>
    <AcquiredFrom xmlns="4873beb7-5857-4685-be1f-d57550cc96cc">Internal MS</AcquiredFrom>
    <FriendlyTitle xmlns="4873beb7-5857-4685-be1f-d57550cc96cc" xsi:nil="true"/>
    <LastHandOff xmlns="4873beb7-5857-4685-be1f-d57550cc96cc" xsi:nil="true"/>
    <TPClientViewer xmlns="4873beb7-5857-4685-be1f-d57550cc96cc" xsi:nil="true"/>
    <ShowIn xmlns="4873beb7-5857-4685-be1f-d57550cc96cc">Show everywhere</ShowIn>
    <UANotes xmlns="4873beb7-5857-4685-be1f-d57550cc96cc" xsi:nil="true"/>
    <TemplateStatus xmlns="4873beb7-5857-4685-be1f-d57550cc96cc">Complete</TemplateStatus>
    <InternalTagsTaxHTField0 xmlns="4873beb7-5857-4685-be1f-d57550cc96cc">
      <Terms xmlns="http://schemas.microsoft.com/office/infopath/2007/PartnerControls"/>
    </InternalTagsTaxHTField0>
    <CSXHash xmlns="4873beb7-5857-4685-be1f-d57550cc96cc" xsi:nil="true"/>
    <Downloads xmlns="4873beb7-5857-4685-be1f-d57550cc96cc">0</Downloads>
    <VoteCount xmlns="4873beb7-5857-4685-be1f-d57550cc96cc" xsi:nil="true"/>
    <OOCacheId xmlns="4873beb7-5857-4685-be1f-d57550cc96cc" xsi:nil="true"/>
    <IsDeleted xmlns="4873beb7-5857-4685-be1f-d57550cc96cc">false</IsDeleted>
    <AssetExpire xmlns="4873beb7-5857-4685-be1f-d57550cc96cc">2035-01-01T08:00:00+00:00</AssetExpire>
    <DSATActionTaken xmlns="4873beb7-5857-4685-be1f-d57550cc96cc" xsi:nil="true"/>
    <CSXSubmissionMarket xmlns="4873beb7-5857-4685-be1f-d57550cc96cc" xsi:nil="true"/>
    <TPExecutable xmlns="4873beb7-5857-4685-be1f-d57550cc96cc" xsi:nil="true"/>
    <SubmitterId xmlns="4873beb7-5857-4685-be1f-d57550cc96cc" xsi:nil="true"/>
    <EditorialTags xmlns="4873beb7-5857-4685-be1f-d57550cc96cc" xsi:nil="true"/>
    <ApprovalLog xmlns="4873beb7-5857-4685-be1f-d57550cc96cc" xsi:nil="true"/>
    <AssetType xmlns="4873beb7-5857-4685-be1f-d57550cc96cc">TP</AssetType>
    <BugNumber xmlns="4873beb7-5857-4685-be1f-d57550cc96cc" xsi:nil="true"/>
    <CSXSubmissionDate xmlns="4873beb7-5857-4685-be1f-d57550cc96cc" xsi:nil="true"/>
    <CSXUpdate xmlns="4873beb7-5857-4685-be1f-d57550cc96cc">false</CSXUpdate>
    <Milestone xmlns="4873beb7-5857-4685-be1f-d57550cc96cc" xsi:nil="true"/>
    <RecommendationsModifier xmlns="4873beb7-5857-4685-be1f-d57550cc96cc" xsi:nil="true"/>
    <OriginAsset xmlns="4873beb7-5857-4685-be1f-d57550cc96cc" xsi:nil="true"/>
    <TPComponent xmlns="4873beb7-5857-4685-be1f-d57550cc96cc" xsi:nil="true"/>
    <AssetId xmlns="4873beb7-5857-4685-be1f-d57550cc96cc">TP102802872</AssetId>
    <IntlLocPriority xmlns="4873beb7-5857-4685-be1f-d57550cc96cc" xsi:nil="true"/>
    <PolicheckWords xmlns="4873beb7-5857-4685-be1f-d57550cc96cc" xsi:nil="true"/>
    <TPLaunchHelpLink xmlns="4873beb7-5857-4685-be1f-d57550cc96cc" xsi:nil="true"/>
    <TPApplication xmlns="4873beb7-5857-4685-be1f-d57550cc96cc" xsi:nil="true"/>
    <CrawlForDependencies xmlns="4873beb7-5857-4685-be1f-d57550cc96cc">false</CrawlForDependencies>
    <HandoffToMSDN xmlns="4873beb7-5857-4685-be1f-d57550cc96cc" xsi:nil="true"/>
    <PlannedPubDate xmlns="4873beb7-5857-4685-be1f-d57550cc96cc" xsi:nil="true"/>
    <IntlLangReviewer xmlns="4873beb7-5857-4685-be1f-d57550cc96cc" xsi:nil="true"/>
    <TrustLevel xmlns="4873beb7-5857-4685-be1f-d57550cc96cc">1 Microsoft Managed Content</TrustLevel>
    <LocLastLocAttemptVersionLookup xmlns="4873beb7-5857-4685-be1f-d57550cc96cc">715235</LocLastLocAttemptVersionLookup>
    <IsSearchable xmlns="4873beb7-5857-4685-be1f-d57550cc96cc">true</IsSearchable>
    <TemplateTemplateType xmlns="4873beb7-5857-4685-be1f-d57550cc96cc">Word 2007 Default</TemplateTemplateType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TaxCatchAll xmlns="4873beb7-5857-4685-be1f-d57550cc96cc"/>
    <Markets xmlns="4873beb7-5857-4685-be1f-d57550cc96cc"/>
    <UAProjectedTotalWords xmlns="4873beb7-5857-4685-be1f-d57550cc96cc" xsi:nil="true"/>
    <IntlLangReview xmlns="4873beb7-5857-4685-be1f-d57550cc96cc">false</IntlLangReview>
    <OutputCachingOn xmlns="4873beb7-5857-4685-be1f-d57550cc96cc">false</OutputCachingOn>
    <AverageRating xmlns="4873beb7-5857-4685-be1f-d57550cc96cc" xsi:nil="true"/>
    <APAuthor xmlns="4873beb7-5857-4685-be1f-d57550cc96cc">
      <UserInfo>
        <DisplayName>REDMOND\v-gakel</DisplayName>
        <AccountId>2721</AccountId>
        <AccountType/>
      </UserInfo>
    </APAuthor>
    <LocManualTestRequired xmlns="4873beb7-5857-4685-be1f-d57550cc96cc">false</LocManualTestRequired>
    <TPCommandLine xmlns="4873beb7-5857-4685-be1f-d57550cc96cc" xsi:nil="true"/>
    <TPAppVersion xmlns="4873beb7-5857-4685-be1f-d57550cc96cc" xsi:nil="true"/>
    <EditorialStatus xmlns="4873beb7-5857-4685-be1f-d57550cc96cc" xsi:nil="true"/>
    <LastModifiedDateTime xmlns="4873beb7-5857-4685-be1f-d57550cc96cc" xsi:nil="true"/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UACurrentWords xmlns="4873beb7-5857-4685-be1f-d57550cc96cc" xsi:nil="true"/>
    <ArtSampleDocs xmlns="4873beb7-5857-4685-be1f-d57550cc96cc" xsi:nil="true"/>
    <UALocRecommendation xmlns="4873beb7-5857-4685-be1f-d57550cc96cc">Localize</UALocRecommendation>
    <Manager xmlns="4873beb7-5857-4685-be1f-d57550cc96cc" xsi:nil="true"/>
    <LocMarketGroupTiers2 xmlns="4873beb7-5857-4685-be1f-d57550cc96cc">,t:Tier 1,t:Tier 2,t:Tier 3,</LocMarketGroupTiers2>
  </documentManagement>
</p:properties>
</file>

<file path=customXml/itemProps1.xml><?xml version="1.0" encoding="utf-8"?>
<ds:datastoreItem xmlns:ds="http://schemas.openxmlformats.org/officeDocument/2006/customXml" ds:itemID="{52170F79-8AD9-4618-841D-AB232407957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D7DF84-242B-4F5E-907E-88A44B83242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DB327D7-915C-4567-B4AD-E43B816B42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BD348DC-98DA-4004-8F63-30B02DAA0E87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447</Words>
  <Characters>2554</Characters>
  <CharactersWithSpaces>2996</CharactersWithSpaces>
  <Application>ONLYOFFICE/9.1.0.173</Application>
  <DocSecurity>0</DocSecurity>
  <Lines>21</Lines>
  <Paragraphs>5</Paragraphs>
  <ScaleCrop>0</ScaleCrop>
  <HeadingPairs>
    <vt:vector size="0" baseType="variant"/>
  </HeadingPairs>
  <TitlesOfParts>
    <vt:vector size="0" baseType="lpstr"/>
  </TitlesOfParts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Heather Key</dc:creator>
  <cp:lastModifiedBy>Brittany Johnston</cp:lastModifiedBy>
  <cp:revision>3</cp:revision>
  <cp:lastPrinted>2018-04-15T17:50:00Z</cp:lastPrinted>
  <dcterms:created xsi:type="dcterms:W3CDTF">2023-07-09T23:48:00Z</dcterms:created>
  <dcterms:modified xsi:type="dcterms:W3CDTF">2024-03-05T18:32:00Z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/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CampaignTags">
    <vt:lpwstr/>
  </property>
  <property fmtid="{D5CDD505-2E9C-101B-9397-08002B2CF9AE}" pid="8" name="ScenarioTags">
    <vt:lpwstr/>
  </property>
  <property fmtid="{D5CDD505-2E9C-101B-9397-08002B2CF9AE}" pid="9" name="LocMarketGroupTiers">
    <vt:lpwstr>,t:Tier 1,t:Tier 2,t:Tier 3,</vt:lpwstr>
  </property>
</Properties>
</file>