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page" w:horzAnchor="page" w:tblpX="249" w:tblpY="523"/>
        <w:tblOverlap w:val="never"/>
        <w:tblW w:w="11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43"/>
        <w:gridCol w:w="7849"/>
      </w:tblGrid>
      <w:tr w:rsidR="0079251C">
        <w:trPr>
          <w:trHeight w:val="15637"/>
        </w:trPr>
        <w:tc>
          <w:tcPr>
            <w:tcW w:w="3743" w:type="dxa"/>
          </w:tcPr>
          <w:p w:rsidR="0079251C" w:rsidRDefault="0044261B" w:rsidP="00A64B65">
            <w:pPr>
              <w:spacing w:beforeLines="150" w:line="300" w:lineRule="exact"/>
              <w:ind w:rightChars="146" w:right="350"/>
              <w:jc w:val="right"/>
              <w:rPr>
                <w:rFonts w:ascii="微软雅黑" w:eastAsia="微软雅黑" w:hAnsi="微软雅黑"/>
                <w:color w:val="81D3CD"/>
                <w:sz w:val="68"/>
                <w:szCs w:val="68"/>
              </w:rPr>
            </w:pPr>
            <w:r w:rsidRPr="0044261B">
              <w:rPr>
                <w:rFonts w:ascii="微软雅黑" w:eastAsia="微软雅黑" w:hAnsi="微软雅黑"/>
                <w:noProof/>
                <w:color w:val="81D3CD"/>
                <w:sz w:val="28"/>
              </w:rPr>
              <w:pict>
                <v:line id="直线连接符 1" o:spid="_x0000_s1026" style="position:absolute;left:0;text-align:left;z-index:251669504;mso-position-vertical-relative:page" from="180.75pt,10.75pt" to="180.75pt,756.85pt" o:gfxdata="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EqQbHZAAAACwEAAA8A&#10;AAAAAAAAAQAgAAAAIgAAAGRycy9kb3ducmV2LnhtbFBLAQIUABQAAAAIAIdO4kC+LXff3QEAAIcD&#10;AAAOAAAAAAAAAAEAIAAAACgBAABkcnMvZTJvRG9jLnhtbFBLBQYAAAAABgAGAFkBAAB3BQAAAAA=&#10;" strokecolor="#bfbfbf [2412]" strokeweight=".5pt">
                  <v:stroke dashstyle="3 1" joinstyle="miter"/>
                  <w10:wrap anchory="page"/>
                </v:line>
              </w:pict>
            </w:r>
            <w:r w:rsidR="00426CBE">
              <w:rPr>
                <w:rFonts w:ascii="微软雅黑" w:eastAsia="微软雅黑" w:hAnsi="微软雅黑" w:hint="eastAsia"/>
                <w:color w:val="81D3CD"/>
                <w:sz w:val="68"/>
                <w:szCs w:val="68"/>
              </w:rPr>
              <w:t>个人简历</w:t>
            </w:r>
          </w:p>
          <w:p w:rsidR="00FD782B" w:rsidRDefault="00FD782B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noProof/>
                <w:color w:val="BFBFBF" w:themeColor="background1" w:themeShade="BF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556699</wp:posOffset>
                  </wp:positionV>
                  <wp:extent cx="1409700" cy="1878425"/>
                  <wp:effectExtent l="57150" t="38100" r="38100" b="26575"/>
                  <wp:wrapNone/>
                  <wp:docPr id="1" name="图片 1" descr="C:\Users\Administrator\Desktop\蓝方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蓝方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8784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81D3CD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782B" w:rsidRDefault="00FD782B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</w:p>
          <w:p w:rsidR="00FD782B" w:rsidRDefault="00FD782B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</w:p>
          <w:p w:rsidR="00FD782B" w:rsidRDefault="00FD782B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</w:p>
          <w:p w:rsidR="00FD782B" w:rsidRDefault="00FD782B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</w:p>
          <w:p w:rsidR="0079251C" w:rsidRDefault="00426CBE" w:rsidP="00A64B65">
            <w:pPr>
              <w:spacing w:afterLines="200" w:line="30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</w:rPr>
              <w:t>法务</w:t>
            </w:r>
            <w:r>
              <w:rPr>
                <w:rFonts w:ascii="微软雅黑" w:eastAsia="微软雅黑" w:hAnsi="微软雅黑"/>
                <w:color w:val="BFBFBF" w:themeColor="background1" w:themeShade="BF"/>
              </w:rPr>
              <w:t>专员应届</w:t>
            </w:r>
          </w:p>
          <w:p w:rsidR="0079251C" w:rsidRDefault="00426CBE" w:rsidP="00A64B6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1990.08</w:t>
            </w:r>
          </w:p>
          <w:p w:rsidR="0079251C" w:rsidRDefault="00426CBE" w:rsidP="00A64B6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18010001000</w:t>
            </w:r>
          </w:p>
          <w:p w:rsidR="0079251C" w:rsidRDefault="00426CBE" w:rsidP="00A64B65">
            <w:pPr>
              <w:spacing w:afterLines="15" w:line="280" w:lineRule="exact"/>
              <w:ind w:rightChars="168" w:right="403"/>
              <w:jc w:val="right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office@microsoft.com</w:t>
            </w:r>
          </w:p>
          <w:p w:rsidR="0079251C" w:rsidRDefault="00426CBE" w:rsidP="00A64B65">
            <w:pPr>
              <w:spacing w:before="195" w:afterLines="15" w:line="280" w:lineRule="exact"/>
              <w:ind w:leftChars="73" w:left="175" w:rightChars="168" w:right="403"/>
              <w:jc w:val="right"/>
              <w:rPr>
                <w:color w:val="81D3CD"/>
                <w:sz w:val="22"/>
                <w:szCs w:val="22"/>
              </w:rPr>
            </w:pP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北京市海淀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区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关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村</w:t>
            </w:r>
            <w:r>
              <w:rPr>
                <w:rFonts w:ascii="微软雅黑" w:eastAsia="微软雅黑" w:hAnsi="微软雅黑" w:cs="PingFang SC"/>
                <w:color w:val="BFBFBF" w:themeColor="background1" w:themeShade="BF"/>
                <w:kern w:val="0"/>
                <w:sz w:val="18"/>
                <w:szCs w:val="18"/>
              </w:rPr>
              <w:t>东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路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号清华科技园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座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PingFang SC" w:hint="eastAsia"/>
                <w:color w:val="BFBFBF" w:themeColor="background1" w:themeShade="BF"/>
                <w:kern w:val="0"/>
                <w:sz w:val="18"/>
                <w:szCs w:val="18"/>
              </w:rPr>
              <w:t>层</w:t>
            </w:r>
            <w:r>
              <w:rPr>
                <w:rFonts w:ascii="微软雅黑" w:eastAsia="微软雅黑" w:hAnsi="微软雅黑" w:cs="Helvetica"/>
                <w:color w:val="BFBFBF" w:themeColor="background1" w:themeShade="BF"/>
                <w:kern w:val="0"/>
                <w:sz w:val="18"/>
                <w:szCs w:val="18"/>
              </w:rPr>
              <w:t>(100084)</w:t>
            </w:r>
          </w:p>
        </w:tc>
        <w:tc>
          <w:tcPr>
            <w:tcW w:w="7849" w:type="dxa"/>
          </w:tcPr>
          <w:p w:rsidR="0079251C" w:rsidRDefault="00426CBE">
            <w:pPr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教育背景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2013.09-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2009.09-2013.07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大学研究生院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>O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政法大学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经济法专业法学硕士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法学专业法学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硕士</w:t>
            </w:r>
          </w:p>
          <w:p w:rsidR="0079251C" w:rsidRDefault="00426CBE" w:rsidP="00A64B6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实习经历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2014.10-2015.04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微软在线网络通讯技术有限公司（Microsoft Online Ltd.）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协助公司律师处理法律事务、起草法律文件、进行法律调研和合同审查与管理等。</w:t>
            </w:r>
          </w:p>
          <w:p w:rsidR="0079251C" w:rsidRDefault="00426CBE" w:rsidP="00A64B6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2013.09-2014.07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政法大学破产法与企业重组研究中心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负责研究中心翻译、撰稿等文字工作，包括外国文献翻译、中心相关新闻稿撰写、中国破产法网站更新等。</w:t>
            </w:r>
          </w:p>
          <w:p w:rsidR="0079251C" w:rsidRDefault="00426CBE" w:rsidP="00A64B6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2014.05-2014.07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律师事务所(重庆)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在金融部从事金融证券业务，业务范围包括新三板挂牌、并购重组、增发配股等，为企业提供法律意见书和法律咨询等。</w:t>
            </w:r>
          </w:p>
          <w:p w:rsidR="0079251C" w:rsidRDefault="00426CBE" w:rsidP="00A64B6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2013.11-2014.05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北京市律师事务所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参与石盘河村居民住房改善项目，为拆迁办提供法律支持，包括法律文书起草、合同审查、纠纷处理等工作。</w:t>
            </w:r>
          </w:p>
          <w:p w:rsidR="0079251C" w:rsidRDefault="00426CBE" w:rsidP="00A64B65">
            <w:pPr>
              <w:spacing w:beforeLines="5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2010.12-2011.01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福建省厦门市区法院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协助整理、装订卷宗，文书送达，庭审与调解记录等。</w:t>
            </w:r>
          </w:p>
          <w:p w:rsidR="0079251C" w:rsidRDefault="00426CBE" w:rsidP="00A64B6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研究经历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2014.11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在《文化产业导刊》（2014.1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）发表《文化产业海外创业的经济法分析》</w:t>
            </w:r>
          </w:p>
          <w:p w:rsidR="0079251C" w:rsidRDefault="00426CBE" w:rsidP="00A64B65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2013.11-2014.09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参与Office政法大学创新实践项目：《行业协会市场价格行为法律研究》</w:t>
            </w:r>
          </w:p>
          <w:p w:rsidR="0079251C" w:rsidRDefault="00426CBE" w:rsidP="00A64B65">
            <w:pPr>
              <w:spacing w:beforeLines="30"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2013.10-2014.10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参与《公司重整法律评述（第六卷）》编写工作，并翻译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 xml:space="preserve">The Failure of Public Company Bankruptcies in Delaware and New York: Empirical Evidence of a 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i/>
                <w:color w:val="BFBFBF" w:themeColor="background1" w:themeShade="BF"/>
                <w:sz w:val="18"/>
                <w:szCs w:val="18"/>
              </w:rPr>
              <w:t>Race to the Bottom</w:t>
            </w:r>
            <w:r>
              <w:rPr>
                <w:rFonts w:ascii="微软雅黑" w:eastAsia="微软雅黑" w:hAnsi="微软雅黑"/>
                <w:i/>
                <w:color w:val="BFBFBF" w:themeColor="background1" w:themeShade="BF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 Lynn M. LoPucki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Sara D. Kalin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）</w:t>
            </w:r>
          </w:p>
          <w:p w:rsidR="0079251C" w:rsidRDefault="00426CBE" w:rsidP="00A64B6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 w:hint="eastAsia"/>
                <w:color w:val="81D3CD"/>
                <w:sz w:val="28"/>
              </w:rPr>
              <w:t>所获</w:t>
            </w:r>
            <w:r>
              <w:rPr>
                <w:rFonts w:ascii="微软雅黑" w:eastAsia="微软雅黑" w:hAnsi="微软雅黑"/>
                <w:color w:val="81D3CD"/>
                <w:sz w:val="28"/>
              </w:rPr>
              <w:t>荣誉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2014.10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Office政法大学研究生学业奖学金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2013.09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Office政法大学经济法专业研究生入学考试第一名</w:t>
            </w:r>
          </w:p>
          <w:p w:rsidR="0079251C" w:rsidRDefault="00426CBE">
            <w:pPr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2012.12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第十三届商法奖学金</w:t>
            </w:r>
          </w:p>
          <w:p w:rsidR="0079251C" w:rsidRDefault="00426CBE" w:rsidP="00A64B65">
            <w:pPr>
              <w:spacing w:beforeLines="150"/>
              <w:ind w:leftChars="177" w:left="425" w:right="285"/>
              <w:rPr>
                <w:rFonts w:ascii="微软雅黑" w:eastAsia="微软雅黑" w:hAnsi="微软雅黑"/>
                <w:color w:val="81D3CD"/>
                <w:sz w:val="28"/>
              </w:rPr>
            </w:pPr>
            <w:r>
              <w:rPr>
                <w:rFonts w:ascii="微软雅黑" w:eastAsia="微软雅黑" w:hAnsi="微软雅黑"/>
                <w:color w:val="81D3CD"/>
                <w:sz w:val="28"/>
              </w:rPr>
              <w:t>资格证书</w:t>
            </w:r>
          </w:p>
          <w:p w:rsidR="0079251C" w:rsidRDefault="00426CBE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英语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CET-6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法律职业资格证书（A证）</w:t>
            </w:r>
          </w:p>
          <w:p w:rsidR="0079251C" w:rsidRDefault="00426CBE">
            <w:pPr>
              <w:tabs>
                <w:tab w:val="left" w:pos="4087"/>
              </w:tabs>
              <w:spacing w:line="260" w:lineRule="exact"/>
              <w:ind w:left="425" w:right="285"/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· 国家计算机二级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ab/>
              <w:t xml:space="preserve">· 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证券从业资格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证</w:t>
            </w:r>
          </w:p>
          <w:p w:rsidR="0079251C" w:rsidRDefault="00426CBE">
            <w:pPr>
              <w:tabs>
                <w:tab w:val="left" w:pos="4252"/>
              </w:tabs>
              <w:spacing w:line="260" w:lineRule="exact"/>
              <w:ind w:leftChars="177" w:left="425" w:right="285"/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· 通过三门注会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（会计、公司战略与风险管理、经济法）</w:t>
            </w:r>
          </w:p>
        </w:tc>
      </w:tr>
    </w:tbl>
    <w:p w:rsidR="0079251C" w:rsidRDefault="00426CBE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-168910</wp:posOffset>
            </wp:positionH>
            <wp:positionV relativeFrom="page">
              <wp:posOffset>-78105</wp:posOffset>
            </wp:positionV>
            <wp:extent cx="8337550" cy="10962005"/>
            <wp:effectExtent l="0" t="0" r="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600" cy="10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251C" w:rsidSect="00023577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4E4" w:rsidRDefault="00F974E4" w:rsidP="00FD782B">
      <w:r>
        <w:separator/>
      </w:r>
    </w:p>
  </w:endnote>
  <w:endnote w:type="continuationSeparator" w:id="1">
    <w:p w:rsidR="00F974E4" w:rsidRDefault="00F974E4" w:rsidP="00FD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4E4" w:rsidRDefault="00F974E4" w:rsidP="00FD782B">
      <w:r>
        <w:separator/>
      </w:r>
    </w:p>
  </w:footnote>
  <w:footnote w:type="continuationSeparator" w:id="1">
    <w:p w:rsidR="00F974E4" w:rsidRDefault="00F974E4" w:rsidP="00FD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560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C64"/>
    <w:rsid w:val="00023577"/>
    <w:rsid w:val="000E0627"/>
    <w:rsid w:val="000F3EF3"/>
    <w:rsid w:val="00180DBC"/>
    <w:rsid w:val="001C77C2"/>
    <w:rsid w:val="00206B94"/>
    <w:rsid w:val="0020776D"/>
    <w:rsid w:val="003003F1"/>
    <w:rsid w:val="00326E14"/>
    <w:rsid w:val="003D67B6"/>
    <w:rsid w:val="0040146F"/>
    <w:rsid w:val="00426CBE"/>
    <w:rsid w:val="0044261B"/>
    <w:rsid w:val="0044747A"/>
    <w:rsid w:val="00484D1C"/>
    <w:rsid w:val="004D7AFF"/>
    <w:rsid w:val="00565A0A"/>
    <w:rsid w:val="0079251C"/>
    <w:rsid w:val="007A3034"/>
    <w:rsid w:val="008956E0"/>
    <w:rsid w:val="008E3894"/>
    <w:rsid w:val="0091007C"/>
    <w:rsid w:val="00993A11"/>
    <w:rsid w:val="009A0F3E"/>
    <w:rsid w:val="00A64B65"/>
    <w:rsid w:val="00AB603D"/>
    <w:rsid w:val="00B01C04"/>
    <w:rsid w:val="00B43234"/>
    <w:rsid w:val="00B93572"/>
    <w:rsid w:val="00C25F8E"/>
    <w:rsid w:val="00C33DEA"/>
    <w:rsid w:val="00C81C64"/>
    <w:rsid w:val="00D359D4"/>
    <w:rsid w:val="00DD70BF"/>
    <w:rsid w:val="00F21F4B"/>
    <w:rsid w:val="00F34474"/>
    <w:rsid w:val="00F379CE"/>
    <w:rsid w:val="00F44B45"/>
    <w:rsid w:val="00F71EB2"/>
    <w:rsid w:val="00F974E4"/>
    <w:rsid w:val="00FD782B"/>
    <w:rsid w:val="00FF1038"/>
    <w:rsid w:val="7202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57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23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57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02357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023577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02357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2357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02357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2357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023577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FD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782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782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FD782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78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FD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782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782B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FD782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782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17</cp:revision>
  <cp:lastPrinted>2015-12-01T06:56:00Z</cp:lastPrinted>
  <dcterms:created xsi:type="dcterms:W3CDTF">2015-12-01T05:32:00Z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