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32"/>
        </w:rPr>
        <w:t>INVENTARIO DE COMPONENTES — MOPGIMED</w:t>
      </w:r>
    </w:p>
    <w:p>
      <w:pPr>
        <w:jc w:val="center"/>
      </w:pPr>
      <w:r>
        <w:rPr>
          <w:color w:val="1E293B"/>
          <w:sz w:val="22"/>
        </w:rPr>
        <w:t>Trazabilidad: Implementación ↔ SRS ↔ SAD</w:t>
      </w:r>
    </w:p>
    <w:p/>
    <w:p>
      <w:pPr>
        <w:spacing w:after="120"/>
      </w:pPr>
      <w:r>
        <w:rPr>
          <w:rFonts w:ascii="Calibri" w:hAnsi="Calibri"/>
          <w:sz w:val="20"/>
        </w:rPr>
        <w:t>Documento de soporte al Sprint Backlog. Lista los componentes implementados en el repositorio MOPGIMED (frontend, backend y base de datos) y su relación con los requerimientos funcionales del SRS y las vistas del SAD.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shd w:val="clear" w:color="auto" w:fill="1E3A5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37"/>
            <w:shd w:val="clear" w:color="auto" w:fill="1E3A5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154"/>
            <w:shd w:val="clear" w:color="auto" w:fill="1E3A5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Ruta / Archivo</w:t>
            </w:r>
          </w:p>
        </w:tc>
        <w:tc>
          <w:tcPr>
            <w:tcW w:type="dxa" w:w="850"/>
            <w:shd w:val="clear" w:color="auto" w:fill="1E3A5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RF</w:t>
            </w:r>
          </w:p>
        </w:tc>
        <w:tc>
          <w:tcPr>
            <w:tcW w:type="dxa" w:w="850"/>
            <w:shd w:val="clear" w:color="auto" w:fill="1E3A5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UC</w:t>
            </w:r>
          </w:p>
        </w:tc>
        <w:tc>
          <w:tcPr>
            <w:tcW w:type="dxa" w:w="2098"/>
            <w:shd w:val="clear" w:color="auto" w:fill="1E3A5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Referencia SAD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React App (SPA)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Frontend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src/main.jsx, src/App.jsx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RF-001–RF-017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Todos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Contenedor React + enrutamiento por estado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Login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src/pages/Login.jsx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UC-001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Acceso al Sistema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AuthContext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Contexto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src/context/AuthContext.jsx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UC-001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Control de sesión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Usuarios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src/pages/Usuarios.jsx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RF-002, RF-003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UC-002, UC-003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Administración de Usuarios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Medicamentos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src/pages/Medicamentos.jsx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RF-006–RF-008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UC-004, UC-006, UC-010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Gestión de Medicamentos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NuevoMedicamento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src/pages/NuevoMedicamento.jsx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RF-004, RF-005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UC-007, UC-008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Registro de medicamentos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ControlInventario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src/pages/ControlInventario.jsx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RF-010–RF-013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UC-012–UC-015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Control de Inventario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Notificaciones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src/pages/Notificaciones.jsx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UC-011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Alertas y Notificaciones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Reportes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src/pages/Reportes.jsx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RF-014–RF-016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UC-016–UC-018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Reportes y Análisis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Dashboard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src/pages/Dashboard.jsx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UC-019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Dashboard Analítico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Analytics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Página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src/pages/Analytics.jsx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UC-020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Dashboard Inteligente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API Client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Servicio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src/services/api.js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RF-001–RF-017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Todos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Capa de integración REST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Sidebar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Componente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src/components/Sidebar.jsx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UC-001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Menú por rol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Express App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backend/index.js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RF-001–RF-017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Todos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API REST :3001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auth.js / authController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backend/routes/auth.js, controllers/authController.js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UC-001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Autenticación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users.js / userController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backend/routes/users.js, controllers/userController.js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RF-002, RF-003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UC-002, UC-003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Usuarios e historial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userModel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Modelo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backend/models/userModel.js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RF-002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UC-002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Entidad Usuario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medicamentos.js / medicamentoController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backend/routes/medicamentos.js, controllers/medicamentoController.js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RF-004–RF-009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UC-004–UC-010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CRUD Medicamentos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medicamentoModel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Modelo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backend/models/medicamentoModel.js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RF-004–RF-009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UC-004–UC-010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Entidad Medicamento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laboratorios (ruta)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backend/routes/laboratorios.js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RF-008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UC-006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Catálogo laboratorios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inventario.js / inventarioController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backend/routes/inventario.js, controllers/inventarioController.js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RF-010–RF-013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UC-012–UC-015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Control inventario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inventarioModel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Modelo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backend/models/inventarioModel.js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RF-010–RF-013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UC-012–UC-015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Consultas stock/vencimiento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notificaciones.js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backend/routes/notificaciones.js, controllers/notificacionController.js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UC-011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Bandeja de alertas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notificacionModel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Modelo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backend/models/notificacionModel.js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UC-011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Entidad Notificación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reportes.js / reporteController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backend/routes/reportes.js, controllers/reporteController.js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RF-014–RF-016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UC-016–UC-018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Reportes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reporteModel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Modelo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backend/models/reporteModel.js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RF-003, RF-014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UC-003, UC-016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Historial y resumen reportes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dashboard.js / dashboardController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backend/routes/dashboard.js, controllers/dashboardController.js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UC-019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Dashboard operativo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analytics.js / analyticsController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Ruta + Controlador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backend/routes/analytics.js, controllers/analyticsController.js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UC-020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Analytics ML/IA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dashboardModel / analyticsModel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Modelo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backend/models/dashboardModel.js, analyticsModel.js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UC-019, UC-020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Datos analíticos</w:t>
            </w:r>
          </w:p>
        </w:tc>
      </w:tr>
      <w:tr>
        <w:tc>
          <w:tcPr>
            <w:tcW w:type="dxa" w:w="124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MySQL — mopgimed</w:t>
            </w:r>
          </w:p>
        </w:tc>
        <w:tc>
          <w:tcPr>
            <w:tcW w:type="dxa" w:w="737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Base de datos</w:t>
            </w:r>
          </w:p>
        </w:tc>
        <w:tc>
          <w:tcPr>
            <w:tcW w:type="dxa" w:w="2154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backend/db/connection.js, db/setup.js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RF-001–RF-017</w:t>
            </w:r>
          </w:p>
        </w:tc>
        <w:tc>
          <w:tcPr>
            <w:tcW w:type="dxa" w:w="850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sz w:val="16"/>
              </w:rPr>
              <w:t>Todos</w:t>
            </w:r>
          </w:p>
        </w:tc>
        <w:tc>
          <w:tcPr>
            <w:tcW w:type="dxa" w:w="2098"/>
            <w:shd w:val="clear" w:color="auto" w:fill="DBEAF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16"/>
              </w:rPr>
              <w:t>SAD — Persistencia (tablas users, medicamentos, notificaciones, etc.)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