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0"/>
        <w:jc w:val="center"/>
      </w:pPr>
      <w:r>
        <w:rPr>
          <w:rFonts w:ascii="Arial" w:hAnsi="Arial"/>
          <w:b/>
          <w:sz w:val="24"/>
        </w:rPr>
        <w:t>UNIVERSIDAD PRIVADA DE TACNA</w:t>
      </w:r>
    </w:p>
    <w:p>
      <w:pPr>
        <w:spacing w:after="0"/>
        <w:jc w:val="center"/>
      </w:pPr>
      <w:r>
        <w:rPr>
          <w:rFonts w:ascii="Arial" w:hAnsi="Arial"/>
          <w:b/>
          <w:sz w:val="24"/>
        </w:rPr>
        <w:t>FACULTAD DE INGENIERIA</w:t>
      </w:r>
    </w:p>
    <w:p>
      <w:pPr>
        <w:spacing w:after="0"/>
        <w:jc w:val="center"/>
      </w:pPr>
      <w:r>
        <w:rPr>
          <w:rFonts w:ascii="Arial" w:hAnsi="Arial"/>
          <w:b/>
          <w:sz w:val="24"/>
        </w:rPr>
        <w:t>ESCUELA DE INGENIERIA DE SISTEMAS</w:t>
      </w:r>
    </w:p>
    <w:p/>
    <w:p/>
    <w:p/>
    <w:p/>
    <w:p/>
    <w:p>
      <w:pPr>
        <w:spacing w:after="0"/>
        <w:jc w:val="center"/>
      </w:pPr>
      <w:r>
        <w:rPr>
          <w:rFonts w:ascii="Arial" w:hAnsi="Arial"/>
          <w:b/>
          <w:sz w:val="24"/>
        </w:rPr>
        <w:t>Guia Practica de Laboratorio</w:t>
      </w:r>
    </w:p>
    <w:p>
      <w:pPr>
        <w:spacing w:after="0"/>
        <w:jc w:val="center"/>
      </w:pPr>
      <w:r>
        <w:rPr>
          <w:rFonts w:ascii="Arial" w:hAnsi="Arial"/>
          <w:b/>
          <w:sz w:val="24"/>
        </w:rPr>
        <w:t>“Vigilancia estrategica con fuentes oficiales”</w:t>
      </w:r>
    </w:p>
    <w:p/>
    <w:p>
      <w:pPr>
        <w:spacing w:after="0"/>
        <w:jc w:val="center"/>
      </w:pPr>
      <w:r>
        <w:rPr>
          <w:rFonts w:ascii="Arial" w:hAnsi="Arial"/>
          <w:b/>
          <w:sz w:val="24"/>
        </w:rPr>
        <w:t>CURSO:</w:t>
      </w:r>
    </w:p>
    <w:p>
      <w:pPr>
        <w:spacing w:after="0"/>
        <w:jc w:val="center"/>
      </w:pPr>
      <w:r>
        <w:rPr>
          <w:rFonts w:ascii="Arial" w:hAnsi="Arial"/>
          <w:b/>
          <w:sz w:val="24"/>
        </w:rPr>
        <w:t>“PLANEAMIENTO ESTRATEGICO DE TI”</w:t>
      </w:r>
    </w:p>
    <w:p>
      <w:pPr>
        <w:spacing w:after="0"/>
        <w:jc w:val="center"/>
      </w:pPr>
      <w:r>
        <w:rPr>
          <w:rFonts w:ascii="Arial" w:hAnsi="Arial"/>
          <w:b/>
          <w:sz w:val="24"/>
        </w:rPr>
        <w:t>Laboratorio N.º 02</w:t>
      </w:r>
    </w:p>
    <w:p/>
    <w:p>
      <w:pPr>
        <w:spacing w:after="0"/>
        <w:jc w:val="center"/>
      </w:pPr>
      <w:r>
        <w:rPr>
          <w:rFonts w:ascii="Arial" w:hAnsi="Arial"/>
          <w:b/>
          <w:sz w:val="24"/>
        </w:rPr>
        <w:t>AUTOR(ES):</w:t>
      </w:r>
    </w:p>
    <w:p>
      <w:pPr>
        <w:spacing w:after="0"/>
        <w:jc w:val="center"/>
      </w:pPr>
      <w:r>
        <w:rPr>
          <w:rFonts w:ascii="Arial" w:hAnsi="Arial"/>
          <w:b w:val="0"/>
          <w:sz w:val="24"/>
        </w:rPr>
        <w:t>Angel Jose Vargas Gutierrez</w:t>
      </w:r>
    </w:p>
    <w:p/>
    <w:p>
      <w:pPr>
        <w:spacing w:after="0"/>
        <w:jc w:val="center"/>
      </w:pPr>
      <w:r>
        <w:rPr>
          <w:rFonts w:ascii="Arial" w:hAnsi="Arial"/>
          <w:b/>
          <w:sz w:val="24"/>
        </w:rPr>
        <w:t>Docente:</w:t>
      </w:r>
    </w:p>
    <w:p>
      <w:pPr>
        <w:spacing w:after="0"/>
        <w:jc w:val="center"/>
      </w:pPr>
      <w:r>
        <w:rPr>
          <w:rFonts w:ascii="Arial" w:hAnsi="Arial"/>
          <w:b/>
          <w:sz w:val="24"/>
        </w:rPr>
        <w:t>Dr. Oscar Juan Jimenez Flores</w:t>
      </w:r>
    </w:p>
    <w:p/>
    <w:p/>
    <w:p/>
    <w:p/>
    <w:p/>
    <w:p/>
    <w:p/>
    <w:p>
      <w:pPr>
        <w:spacing w:after="0"/>
        <w:jc w:val="center"/>
      </w:pPr>
      <w:r>
        <w:rPr>
          <w:rFonts w:ascii="Arial" w:hAnsi="Arial"/>
          <w:b/>
          <w:sz w:val="24"/>
        </w:rPr>
        <w:t>TACNA — PERÚ</w:t>
      </w:r>
    </w:p>
    <w:p>
      <w:r>
        <w:br w:type="page"/>
      </w:r>
    </w:p>
    <w:p>
      <w:pPr>
        <w:pStyle w:val="Heading1"/>
      </w:pPr>
      <w:r>
        <w:t>Índice General</w:t>
      </w:r>
    </w:p>
    <w:p>
      <w:r>
        <w:fldChar w:fldCharType="begin"/>
        <w:instrText xml:space="preserve">TOC \o "1-3" \h \z \u</w:instrText>
        <w:fldChar w:fldCharType="separate">
          <w:t>Haga clic derecho aqui y seleccione “Actualizar campo” para generar el indice con numeros de pagina.</w:t>
        </w:fldChar>
        <w:fldChar w:fldCharType="end"/>
      </w:r>
    </w:p>
    <w:p>
      <w:r>
        <w:br w:type="page"/>
      </w:r>
    </w:p>
    <w:p>
      <w:pPr>
        <w:pStyle w:val="Heading1"/>
      </w:pPr>
      <w:r>
        <w:t>Introducción</w:t>
      </w:r>
    </w:p>
    <w:p>
      <w:pPr>
        <w:spacing w:after="160"/>
      </w:pPr>
      <w:r>
        <w:rPr>
          <w:b w:val="0"/>
          <w:i w:val="0"/>
        </w:rPr>
        <w:t>La presente guía práctica corresponde a la Guía de Laboratorio N.º 02 — «Vigilancia estratégica con fuentes oficiales» del curso SI-886 Planeamiento Estratégico de TI, y se desarrolla en la sesión de taller de la Semana 02.</w:t>
      </w:r>
    </w:p>
    <w:p>
      <w:pPr>
        <w:spacing w:after="160"/>
      </w:pPr>
      <w:r>
        <w:rPr>
          <w:b w:val="0"/>
          <w:i w:val="0"/>
        </w:rPr>
        <w:t>El trabajo de laboratorio de este curso es acumulativo: cada guía produce un artefacto que se incorpora al Plan Estratégico de Tecnologías de Información (PETI) que se construye progresivamente durante el semestre. Por esa razón, cada dato utilizado se registra con su fuente, su fecha de descarga y su hash, de modo que el análisis pueda actualizarse en la revisión anual del plan sin perder trazabilidad.</w:t>
      </w:r>
    </w:p>
    <w:p>
      <w:pPr>
        <w:spacing w:after="160"/>
      </w:pPr>
      <w:r>
        <w:rPr>
          <w:b w:val="0"/>
          <w:i w:val="0"/>
        </w:rPr>
        <w:t>La organización caso de estudio de este PETI es una farmacia con atención clínica que gestiona su inventario de medicamentos y que se encuentra desarrollando un sistema propio de control, predicción y gestión inteligente de inventario (SWIPRE-MED) como iniciativa central de su portafolio de TI.</w:t>
      </w:r>
    </w:p>
    <w:p>
      <w:pPr>
        <w:spacing w:after="160"/>
      </w:pPr>
      <w:r>
        <w:rPr>
          <w:b w:val="0"/>
          <w:i w:val="0"/>
        </w:rPr>
        <w:t>Al concluir la práctica, el estudiante habrá logrado:</w:t>
      </w:r>
    </w:p>
    <w:p>
      <w:pPr>
        <w:pStyle w:val="ListBullet"/>
      </w:pPr>
      <w:r>
        <w:t>Identificar y consultar las fuentes oficiales pertinentes al sector salud y farmacéutico.</w:t>
      </w:r>
    </w:p>
    <w:p>
      <w:pPr>
        <w:pStyle w:val="ListBullet"/>
      </w:pPr>
      <w:r>
        <w:t>Extraer series estadísticas reales de INEI, BCRP, OSIPTEL y del Banco Mundial.</w:t>
      </w:r>
    </w:p>
    <w:p>
      <w:pPr>
        <w:pStyle w:val="ListBullet"/>
      </w:pPr>
      <w:r>
        <w:t>Procesar y visualizar las series para sustentar el análisis de tendencias.</w:t>
      </w:r>
    </w:p>
    <w:p>
      <w:pPr>
        <w:pStyle w:val="ListBullet"/>
      </w:pPr>
      <w:r>
        <w:t>Construir la matriz de vigilancia estratégica con la trazabilidad de cada dato a su fuente.</w:t>
      </w:r>
    </w:p>
    <w:p>
      <w:pPr>
        <w:pStyle w:val="ListBullet"/>
      </w:pPr>
      <w:r>
        <w:t>Redactar la Sección 1.1 del PETI: Contexto y tendencias, con cada afirmación referenciada.</w:t>
      </w:r>
    </w:p>
    <w:p>
      <w:pPr>
        <w:pStyle w:val="ListBullet"/>
      </w:pPr>
      <w:r>
        <w:t>Establecer un procedimiento de actualización de la vigilancia para la revisión anual del plan.</w:t>
      </w:r>
    </w:p>
    <w:p>
      <w:pPr>
        <w:spacing w:after="160"/>
      </w:pPr>
      <w:r>
        <w:rPr>
          <w:b w:val="0"/>
          <w:i w:val="0"/>
        </w:rPr>
        <w:t>La evaluación considera la evidencia depositada en el repositorio y el presente informe, elaborado con esta misma estructura: información sobre el evento práctico, procedimiento o metodología, resultados, conclusiones, cuestionario, referencias bibliográficas y anexos.</w:t>
      </w:r>
    </w:p>
    <w:p>
      <w:pPr>
        <w:pStyle w:val="Heading1"/>
      </w:pPr>
      <w:r>
        <w:t>Guía de Laboratorio N.º 02</w:t>
      </w:r>
    </w:p>
    <w:p>
      <w:pPr>
        <w:jc w:val="center"/>
      </w:pPr>
      <w:r>
        <w:rPr>
          <w:b/>
          <w:color w:val="16285C"/>
          <w:sz w:val="26"/>
        </w:rPr>
        <w:t>Vigilancia estratégica con fuentes oficiales</w:t>
      </w:r>
    </w:p>
    <w:p>
      <w:pPr>
        <w:pStyle w:val="Heading1"/>
      </w:pPr>
      <w:r>
        <w:t>1. Información sobre el evento práctico</w:t>
      </w:r>
    </w:p>
    <w:p>
      <w:pPr>
        <w:pStyle w:val="Heading2"/>
      </w:pPr>
      <w:r>
        <w:t>1.1. Título del evento práctico</w:t>
      </w:r>
    </w:p>
    <w:p>
      <w:pPr>
        <w:spacing w:after="160"/>
      </w:pPr>
      <w:r>
        <w:rPr>
          <w:b w:val="0"/>
          <w:i w:val="0"/>
        </w:rPr>
        <w:t>Construcción del análisis de contexto y tendencias del PETI mediante extracción, procesamiento y visualización de datos de fuentes estadísticas oficiales peruanas e internacionales, aplicado al caso de una farmacia con atención clínica.</w:t>
      </w:r>
    </w:p>
    <w:p>
      <w:pPr>
        <w:pStyle w:val="Heading2"/>
      </w:pPr>
      <w:r>
        <w:t>1.2. Objetivos</w:t>
      </w:r>
    </w:p>
    <w:p>
      <w:pPr>
        <w:pStyle w:val="ListBullet"/>
      </w:pPr>
      <w:r>
        <w:t>Identificar y consultar las fuentes oficiales pertinentes al sector de la organización.</w:t>
      </w:r>
    </w:p>
    <w:p>
      <w:pPr>
        <w:pStyle w:val="ListBullet"/>
      </w:pPr>
      <w:r>
        <w:t>Extraer series estadísticas reales de INEI, BCRP, OSIPTEL y Datos Abiertos del Perú.</w:t>
      </w:r>
    </w:p>
    <w:p>
      <w:pPr>
        <w:pStyle w:val="ListBullet"/>
      </w:pPr>
      <w:r>
        <w:t>Procesar y visualizar las series para sustentar el análisis de tendencias.</w:t>
      </w:r>
    </w:p>
    <w:p>
      <w:pPr>
        <w:pStyle w:val="ListBullet"/>
      </w:pPr>
      <w:r>
        <w:t>Construir la matriz de vigilancia estratégica con la trazabilidad de cada dato a su fuente.</w:t>
      </w:r>
    </w:p>
    <w:p>
      <w:pPr>
        <w:pStyle w:val="ListBullet"/>
      </w:pPr>
      <w:r>
        <w:t>Redactar la Sección 1.1 del PETI: Contexto y tendencias, con cada afirmación referenciada.</w:t>
      </w:r>
    </w:p>
    <w:p>
      <w:pPr>
        <w:pStyle w:val="ListBullet"/>
      </w:pPr>
      <w:r>
        <w:t>Establecer un procedimiento de actualización de la vigilancia para la revisión anual del plan.</w:t>
      </w:r>
    </w:p>
    <w:p>
      <w:pPr>
        <w:pStyle w:val="Heading2"/>
      </w:pPr>
      <w:r>
        <w:t>1.3. Tiempo de duración</w:t>
      </w:r>
    </w:p>
    <w:p>
      <w:pPr>
        <w:spacing w:after="160"/>
      </w:pPr>
      <w:r>
        <w:rPr>
          <w:b w:val="0"/>
          <w:i w:val="0"/>
        </w:rPr>
        <w:t>02 horas.</w:t>
      </w:r>
    </w:p>
    <w:p>
      <w:pPr>
        <w:pStyle w:val="Heading2"/>
      </w:pPr>
      <w:r>
        <w:t>1.4. Resultados de Aprendizaje (RA)</w:t>
      </w:r>
    </w:p>
    <w:p>
      <w:pPr>
        <w:pStyle w:val="ListBullet"/>
      </w:pPr>
      <w:r>
        <w:t>RA1: Aplica la dirección estratégica, definiendo la misión y visión.</w:t>
      </w:r>
    </w:p>
    <w:p>
      <w:pPr>
        <w:pStyle w:val="ListBullet"/>
      </w:pPr>
      <w:r>
        <w:t>RA2: Desarrolla el análisis FODA.</w:t>
      </w:r>
    </w:p>
    <w:p>
      <w:pPr>
        <w:pStyle w:val="Heading2"/>
      </w:pPr>
      <w:r>
        <w:t>1.5. Recursos</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16285C"/>
          </w:tcPr>
          <w:p>
            <w:r/>
            <w:r>
              <w:rPr>
                <w:b/>
                <w:color w:val="FFFFFF"/>
                <w:sz w:val="19"/>
              </w:rPr>
              <w:t>Recurso</w:t>
            </w:r>
          </w:p>
        </w:tc>
        <w:tc>
          <w:tcPr>
            <w:tcW w:type="dxa" w:w="6236"/>
            <w:shd w:val="clear" w:color="auto" w:fill="16285C"/>
          </w:tcPr>
          <w:p>
            <w:r/>
            <w:r>
              <w:rPr>
                <w:b/>
                <w:color w:val="FFFFFF"/>
                <w:sz w:val="19"/>
              </w:rPr>
              <w:t>Detalle</w:t>
            </w:r>
          </w:p>
        </w:tc>
      </w:tr>
      <w:tr>
        <w:tc>
          <w:tcPr>
            <w:tcW w:type="dxa" w:w="2835"/>
          </w:tcPr>
          <w:p>
            <w:r/>
            <w:r>
              <w:rPr>
                <w:sz w:val="19"/>
              </w:rPr>
              <w:t>INEI</w:t>
            </w:r>
          </w:p>
        </w:tc>
        <w:tc>
          <w:tcPr>
            <w:tcW w:type="dxa" w:w="6236"/>
          </w:tcPr>
          <w:p>
            <w:r/>
            <w:r>
              <w:rPr>
                <w:sz w:val="19"/>
              </w:rPr>
              <w:t>https://www.inei.gob.pe · Sistema de Información Regional (SIRTOD)</w:t>
            </w:r>
          </w:p>
        </w:tc>
      </w:tr>
      <w:tr>
        <w:tc>
          <w:tcPr>
            <w:tcW w:type="dxa" w:w="2835"/>
          </w:tcPr>
          <w:p>
            <w:r/>
            <w:r>
              <w:rPr>
                <w:sz w:val="19"/>
              </w:rPr>
              <w:t>BCRP — Estadísticas</w:t>
            </w:r>
          </w:p>
        </w:tc>
        <w:tc>
          <w:tcPr>
            <w:tcW w:type="dxa" w:w="6236"/>
          </w:tcPr>
          <w:p>
            <w:r/>
            <w:r>
              <w:rPr>
                <w:sz w:val="19"/>
              </w:rPr>
              <w:t>https://estadisticas.bcrp.gob.pe · API pública de series</w:t>
            </w:r>
          </w:p>
        </w:tc>
      </w:tr>
      <w:tr>
        <w:tc>
          <w:tcPr>
            <w:tcW w:type="dxa" w:w="2835"/>
          </w:tcPr>
          <w:p>
            <w:r/>
            <w:r>
              <w:rPr>
                <w:sz w:val="19"/>
              </w:rPr>
              <w:t>OSIPTEL</w:t>
            </w:r>
          </w:p>
        </w:tc>
        <w:tc>
          <w:tcPr>
            <w:tcW w:type="dxa" w:w="6236"/>
          </w:tcPr>
          <w:p>
            <w:r/>
            <w:r>
              <w:rPr>
                <w:sz w:val="19"/>
              </w:rPr>
              <w:t>https://www.osiptel.gob.pe · Punto de Intercambio de Datos</w:t>
            </w:r>
          </w:p>
        </w:tc>
      </w:tr>
      <w:tr>
        <w:tc>
          <w:tcPr>
            <w:tcW w:type="dxa" w:w="2835"/>
          </w:tcPr>
          <w:p>
            <w:r/>
            <w:r>
              <w:rPr>
                <w:sz w:val="19"/>
              </w:rPr>
              <w:t>MEF — Consulta Amigable</w:t>
            </w:r>
          </w:p>
        </w:tc>
        <w:tc>
          <w:tcPr>
            <w:tcW w:type="dxa" w:w="6236"/>
          </w:tcPr>
          <w:p>
            <w:r/>
            <w:r>
              <w:rPr>
                <w:sz w:val="19"/>
              </w:rPr>
              <w:t>https://apps5.mineco.gob.pe/transparencia/</w:t>
            </w:r>
          </w:p>
        </w:tc>
      </w:tr>
      <w:tr>
        <w:tc>
          <w:tcPr>
            <w:tcW w:type="dxa" w:w="2835"/>
          </w:tcPr>
          <w:p>
            <w:r/>
            <w:r>
              <w:rPr>
                <w:sz w:val="19"/>
              </w:rPr>
              <w:t>Datos Abiertos del Perú</w:t>
            </w:r>
          </w:p>
        </w:tc>
        <w:tc>
          <w:tcPr>
            <w:tcW w:type="dxa" w:w="6236"/>
          </w:tcPr>
          <w:p>
            <w:r/>
            <w:r>
              <w:rPr>
                <w:sz w:val="19"/>
              </w:rPr>
              <w:t>https://www.datosabiertos.gob.pe</w:t>
            </w:r>
          </w:p>
        </w:tc>
      </w:tr>
      <w:tr>
        <w:tc>
          <w:tcPr>
            <w:tcW w:type="dxa" w:w="2835"/>
          </w:tcPr>
          <w:p>
            <w:r/>
            <w:r>
              <w:rPr>
                <w:sz w:val="19"/>
              </w:rPr>
              <w:t>Banco Mundial — API</w:t>
            </w:r>
          </w:p>
        </w:tc>
        <w:tc>
          <w:tcPr>
            <w:tcW w:type="dxa" w:w="6236"/>
          </w:tcPr>
          <w:p>
            <w:r/>
            <w:r>
              <w:rPr>
                <w:sz w:val="19"/>
              </w:rPr>
              <w:t>https://data.worldbank.org · https://api.worldbank.org/v2/</w:t>
            </w:r>
          </w:p>
        </w:tc>
      </w:tr>
      <w:tr>
        <w:tc>
          <w:tcPr>
            <w:tcW w:type="dxa" w:w="2835"/>
          </w:tcPr>
          <w:p>
            <w:r/>
            <w:r>
              <w:rPr>
                <w:sz w:val="19"/>
              </w:rPr>
              <w:t>Python 3.11+</w:t>
            </w:r>
          </w:p>
        </w:tc>
        <w:tc>
          <w:tcPr>
            <w:tcW w:type="dxa" w:w="6236"/>
          </w:tcPr>
          <w:p>
            <w:r/>
            <w:r>
              <w:rPr>
                <w:sz w:val="19"/>
              </w:rPr>
              <w:t>pandas, matplotlib, requests</w:t>
            </w:r>
          </w:p>
        </w:tc>
      </w:tr>
      <w:tr>
        <w:tc>
          <w:tcPr>
            <w:tcW w:type="dxa" w:w="2835"/>
          </w:tcPr>
          <w:p>
            <w:r/>
            <w:r>
              <w:rPr>
                <w:sz w:val="19"/>
              </w:rPr>
              <w:t>Jupyter Lab</w:t>
            </w:r>
          </w:p>
        </w:tc>
        <w:tc>
          <w:tcPr>
            <w:tcW w:type="dxa" w:w="6236"/>
          </w:tcPr>
          <w:p>
            <w:r/>
            <w:r>
              <w:rPr>
                <w:sz w:val="19"/>
              </w:rPr>
              <w:t>pip install jupyterlab</w:t>
            </w:r>
          </w:p>
        </w:tc>
      </w:tr>
      <w:tr>
        <w:tc>
          <w:tcPr>
            <w:tcW w:type="dxa" w:w="2835"/>
          </w:tcPr>
          <w:p>
            <w:r/>
            <w:r>
              <w:rPr>
                <w:sz w:val="19"/>
              </w:rPr>
              <w:t>LibreOffice Calc</w:t>
            </w:r>
          </w:p>
        </w:tc>
        <w:tc>
          <w:tcPr>
            <w:tcW w:type="dxa" w:w="6236"/>
          </w:tcPr>
          <w:p>
            <w:r/>
            <w:r>
              <w:rPr>
                <w:sz w:val="19"/>
              </w:rPr>
              <w:t>Matriz de vigilancia</w:t>
            </w:r>
          </w:p>
        </w:tc>
      </w:tr>
    </w:tbl>
    <w:p>
      <w:pPr>
        <w:spacing w:after="80"/>
      </w:pPr>
    </w:p>
    <w:p>
      <w:pPr>
        <w:pStyle w:val="Heading2"/>
      </w:pPr>
      <w:r>
        <w:t>1.6. Seguridad</w:t>
      </w:r>
    </w:p>
    <w:p>
      <w:pPr>
        <w:pStyle w:val="ListNumber"/>
      </w:pPr>
      <w:r>
        <w:t>Se consumen APIs y descargas públicas; no se realiza extracción automatizada masiva que pueda afectar la disponibilidad del servicio. Se respetan los términos de uso de cada portal.</w:t>
      </w:r>
    </w:p>
    <w:p>
      <w:pPr>
        <w:pStyle w:val="ListNumber"/>
      </w:pPr>
      <w:r>
        <w:t>Toda serie descargada se guarda con su URL de origen, fecha de descarga y hash, para garantizar la reproducibilidad del análisis.</w:t>
      </w:r>
    </w:p>
    <w:p>
      <w:pPr>
        <w:pStyle w:val="ListNumber"/>
      </w:pPr>
      <w:r>
        <w:t>Los datos oficiales se citan sin alterar. Cualquier transformación (deflactación, tasas, promedios móviles) se documenta explícitamente.</w:t>
      </w:r>
    </w:p>
    <w:p>
      <w:pPr>
        <w:pStyle w:val="ListNumber"/>
      </w:pPr>
      <w:r>
        <w:t>Está prohibido presentar como oficial un dato obtenido de una fuente secundaria sin verificar la primaria.</w:t>
      </w:r>
    </w:p>
    <w:p>
      <w:pPr>
        <w:pStyle w:val="Heading1"/>
      </w:pPr>
      <w:r>
        <w:t>2. Procedimiento o Metodología</w:t>
      </w:r>
    </w:p>
    <w:p>
      <w:pPr>
        <w:spacing w:after="160"/>
      </w:pPr>
      <w:r>
        <w:rPr>
          <w:b w:val="0"/>
          <w:i w:val="0"/>
        </w:rPr>
        <w:t>URL DEL GITHUB: https://github.com/AngelVargasGutierrez/peti-si886</w:t>
      </w:r>
    </w:p>
    <w:p>
      <w:pPr>
        <w:pStyle w:val="Heading2"/>
      </w:pPr>
      <w:r>
        <w:t>Paso A — Mapear las fuentes pertinentes al sector (20 min)</w:t>
      </w:r>
    </w:p>
    <w:p>
      <w:pPr>
        <w:spacing w:after="160"/>
      </w:pPr>
      <w:r>
        <w:rPr>
          <w:b w:val="0"/>
          <w:i w:val="0"/>
        </w:rPr>
        <w:t>Se identificaron las fuentes oficiales con evidencia descargable y actualizable, pertinentes al sector salud y a la operación de una farmacia con atención clínica. Resultado registrado en 01_marco/VS01_fuentes.csv:</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37"/>
            <w:shd w:val="clear" w:color="auto" w:fill="16285C"/>
          </w:tcPr>
          <w:p>
            <w:r/>
            <w:r>
              <w:rPr>
                <w:b/>
                <w:color w:val="FFFFFF"/>
                <w:sz w:val="19"/>
              </w:rPr>
              <w:t>id</w:t>
            </w:r>
          </w:p>
        </w:tc>
        <w:tc>
          <w:tcPr>
            <w:tcW w:type="dxa" w:w="2268"/>
            <w:shd w:val="clear" w:color="auto" w:fill="16285C"/>
          </w:tcPr>
          <w:p>
            <w:r/>
            <w:r>
              <w:rPr>
                <w:b/>
                <w:color w:val="FFFFFF"/>
                <w:sz w:val="19"/>
              </w:rPr>
              <w:t>Fuerza del contexto</w:t>
            </w:r>
          </w:p>
        </w:tc>
        <w:tc>
          <w:tcPr>
            <w:tcW w:type="dxa" w:w="2835"/>
            <w:shd w:val="clear" w:color="auto" w:fill="16285C"/>
          </w:tcPr>
          <w:p>
            <w:r/>
            <w:r>
              <w:rPr>
                <w:b/>
                <w:color w:val="FFFFFF"/>
                <w:sz w:val="19"/>
              </w:rPr>
              <w:t>Fuente oficial</w:t>
            </w:r>
          </w:p>
        </w:tc>
        <w:tc>
          <w:tcPr>
            <w:tcW w:type="dxa" w:w="1871"/>
            <w:shd w:val="clear" w:color="auto" w:fill="16285C"/>
          </w:tcPr>
          <w:p>
            <w:r/>
            <w:r>
              <w:rPr>
                <w:b/>
                <w:color w:val="FFFFFF"/>
                <w:sz w:val="19"/>
              </w:rPr>
              <w:t>Institución</w:t>
            </w:r>
          </w:p>
        </w:tc>
        <w:tc>
          <w:tcPr>
            <w:tcW w:type="dxa" w:w="1361"/>
            <w:shd w:val="clear" w:color="auto" w:fill="16285C"/>
          </w:tcPr>
          <w:p>
            <w:r/>
            <w:r>
              <w:rPr>
                <w:b/>
                <w:color w:val="FFFFFF"/>
                <w:sz w:val="19"/>
              </w:rPr>
              <w:t>Periodicidad</w:t>
            </w:r>
          </w:p>
        </w:tc>
      </w:tr>
      <w:tr>
        <w:tc>
          <w:tcPr>
            <w:tcW w:type="dxa" w:w="737"/>
          </w:tcPr>
          <w:p>
            <w:r/>
            <w:r>
              <w:rPr>
                <w:sz w:val="19"/>
              </w:rPr>
              <w:t>F-01</w:t>
            </w:r>
          </w:p>
        </w:tc>
        <w:tc>
          <w:tcPr>
            <w:tcW w:type="dxa" w:w="2268"/>
          </w:tcPr>
          <w:p>
            <w:r/>
            <w:r>
              <w:rPr>
                <w:sz w:val="19"/>
              </w:rPr>
              <w:t>Conectividad digital de los hogares</w:t>
            </w:r>
          </w:p>
        </w:tc>
        <w:tc>
          <w:tcPr>
            <w:tcW w:type="dxa" w:w="2835"/>
          </w:tcPr>
          <w:p>
            <w:r/>
            <w:r>
              <w:rPr>
                <w:sz w:val="19"/>
              </w:rPr>
              <w:t>ENAHO — Estadísticas TIC en hogares</w:t>
            </w:r>
          </w:p>
        </w:tc>
        <w:tc>
          <w:tcPr>
            <w:tcW w:type="dxa" w:w="1871"/>
          </w:tcPr>
          <w:p>
            <w:r/>
            <w:r>
              <w:rPr>
                <w:sz w:val="19"/>
              </w:rPr>
              <w:t>INEI</w:t>
            </w:r>
          </w:p>
        </w:tc>
        <w:tc>
          <w:tcPr>
            <w:tcW w:type="dxa" w:w="1361"/>
          </w:tcPr>
          <w:p>
            <w:r/>
            <w:r>
              <w:rPr>
                <w:sz w:val="19"/>
              </w:rPr>
              <w:t>Trimestral</w:t>
            </w:r>
          </w:p>
        </w:tc>
      </w:tr>
      <w:tr>
        <w:tc>
          <w:tcPr>
            <w:tcW w:type="dxa" w:w="737"/>
          </w:tcPr>
          <w:p>
            <w:r/>
            <w:r>
              <w:rPr>
                <w:sz w:val="19"/>
              </w:rPr>
              <w:t>F-02</w:t>
            </w:r>
          </w:p>
        </w:tc>
        <w:tc>
          <w:tcPr>
            <w:tcW w:type="dxa" w:w="2268"/>
          </w:tcPr>
          <w:p>
            <w:r/>
            <w:r>
              <w:rPr>
                <w:sz w:val="19"/>
              </w:rPr>
              <w:t>Volatilidad cambiaria</w:t>
            </w:r>
          </w:p>
        </w:tc>
        <w:tc>
          <w:tcPr>
            <w:tcW w:type="dxa" w:w="2835"/>
          </w:tcPr>
          <w:p>
            <w:r/>
            <w:r>
              <w:rPr>
                <w:sz w:val="19"/>
              </w:rPr>
              <w:t>Series estadísticas — Tipo de cambio interbancario</w:t>
            </w:r>
          </w:p>
        </w:tc>
        <w:tc>
          <w:tcPr>
            <w:tcW w:type="dxa" w:w="1871"/>
          </w:tcPr>
          <w:p>
            <w:r/>
            <w:r>
              <w:rPr>
                <w:sz w:val="19"/>
              </w:rPr>
              <w:t>BCRP</w:t>
            </w:r>
          </w:p>
        </w:tc>
        <w:tc>
          <w:tcPr>
            <w:tcW w:type="dxa" w:w="1361"/>
          </w:tcPr>
          <w:p>
            <w:r/>
            <w:r>
              <w:rPr>
                <w:sz w:val="19"/>
              </w:rPr>
              <w:t>Diaria/Mensual</w:t>
            </w:r>
          </w:p>
        </w:tc>
      </w:tr>
      <w:tr>
        <w:tc>
          <w:tcPr>
            <w:tcW w:type="dxa" w:w="737"/>
          </w:tcPr>
          <w:p>
            <w:r/>
            <w:r>
              <w:rPr>
                <w:sz w:val="19"/>
              </w:rPr>
              <w:t>F-03</w:t>
            </w:r>
          </w:p>
        </w:tc>
        <w:tc>
          <w:tcPr>
            <w:tcW w:type="dxa" w:w="2268"/>
          </w:tcPr>
          <w:p>
            <w:r/>
            <w:r>
              <w:rPr>
                <w:sz w:val="19"/>
              </w:rPr>
              <w:t>Inflación</w:t>
            </w:r>
          </w:p>
        </w:tc>
        <w:tc>
          <w:tcPr>
            <w:tcW w:type="dxa" w:w="2835"/>
          </w:tcPr>
          <w:p>
            <w:r/>
            <w:r>
              <w:rPr>
                <w:sz w:val="19"/>
              </w:rPr>
              <w:t>Series estadísticas — IPC de Lima Metropolitana</w:t>
            </w:r>
          </w:p>
        </w:tc>
        <w:tc>
          <w:tcPr>
            <w:tcW w:type="dxa" w:w="1871"/>
          </w:tcPr>
          <w:p>
            <w:r/>
            <w:r>
              <w:rPr>
                <w:sz w:val="19"/>
              </w:rPr>
              <w:t>BCRP / INEI</w:t>
            </w:r>
          </w:p>
        </w:tc>
        <w:tc>
          <w:tcPr>
            <w:tcW w:type="dxa" w:w="1361"/>
          </w:tcPr>
          <w:p>
            <w:r/>
            <w:r>
              <w:rPr>
                <w:sz w:val="19"/>
              </w:rPr>
              <w:t>Mensual</w:t>
            </w:r>
          </w:p>
        </w:tc>
      </w:tr>
      <w:tr>
        <w:tc>
          <w:tcPr>
            <w:tcW w:type="dxa" w:w="737"/>
          </w:tcPr>
          <w:p>
            <w:r/>
            <w:r>
              <w:rPr>
                <w:sz w:val="19"/>
              </w:rPr>
              <w:t>F-04</w:t>
            </w:r>
          </w:p>
        </w:tc>
        <w:tc>
          <w:tcPr>
            <w:tcW w:type="dxa" w:w="2268"/>
          </w:tcPr>
          <w:p>
            <w:r/>
            <w:r>
              <w:rPr>
                <w:sz w:val="19"/>
              </w:rPr>
              <w:t>Penetración y cobertura móvil</w:t>
            </w:r>
          </w:p>
        </w:tc>
        <w:tc>
          <w:tcPr>
            <w:tcW w:type="dxa" w:w="2835"/>
          </w:tcPr>
          <w:p>
            <w:r/>
            <w:r>
              <w:rPr>
                <w:sz w:val="19"/>
              </w:rPr>
              <w:t>Indicadores del mercado de telecomunicaciones</w:t>
            </w:r>
          </w:p>
        </w:tc>
        <w:tc>
          <w:tcPr>
            <w:tcW w:type="dxa" w:w="1871"/>
          </w:tcPr>
          <w:p>
            <w:r/>
            <w:r>
              <w:rPr>
                <w:sz w:val="19"/>
              </w:rPr>
              <w:t>OSIPTEL</w:t>
            </w:r>
          </w:p>
        </w:tc>
        <w:tc>
          <w:tcPr>
            <w:tcW w:type="dxa" w:w="1361"/>
          </w:tcPr>
          <w:p>
            <w:r/>
            <w:r>
              <w:rPr>
                <w:sz w:val="19"/>
              </w:rPr>
              <w:t>Trimestral</w:t>
            </w:r>
          </w:p>
        </w:tc>
      </w:tr>
      <w:tr>
        <w:tc>
          <w:tcPr>
            <w:tcW w:type="dxa" w:w="737"/>
          </w:tcPr>
          <w:p>
            <w:r/>
            <w:r>
              <w:rPr>
                <w:sz w:val="19"/>
              </w:rPr>
              <w:t>F-05</w:t>
            </w:r>
          </w:p>
        </w:tc>
        <w:tc>
          <w:tcPr>
            <w:tcW w:type="dxa" w:w="2268"/>
          </w:tcPr>
          <w:p>
            <w:r/>
            <w:r>
              <w:rPr>
                <w:sz w:val="19"/>
              </w:rPr>
              <w:t>Actividad económica general</w:t>
            </w:r>
          </w:p>
        </w:tc>
        <w:tc>
          <w:tcPr>
            <w:tcW w:type="dxa" w:w="2835"/>
          </w:tcPr>
          <w:p>
            <w:r/>
            <w:r>
              <w:rPr>
                <w:sz w:val="19"/>
              </w:rPr>
              <w:t>Cuentas nacionales — PBI</w:t>
            </w:r>
          </w:p>
        </w:tc>
        <w:tc>
          <w:tcPr>
            <w:tcW w:type="dxa" w:w="1871"/>
          </w:tcPr>
          <w:p>
            <w:r/>
            <w:r>
              <w:rPr>
                <w:sz w:val="19"/>
              </w:rPr>
              <w:t>BCRP</w:t>
            </w:r>
          </w:p>
        </w:tc>
        <w:tc>
          <w:tcPr>
            <w:tcW w:type="dxa" w:w="1361"/>
          </w:tcPr>
          <w:p>
            <w:r/>
            <w:r>
              <w:rPr>
                <w:sz w:val="19"/>
              </w:rPr>
              <w:t>Mensual/Trimestral</w:t>
            </w:r>
          </w:p>
        </w:tc>
      </w:tr>
      <w:tr>
        <w:tc>
          <w:tcPr>
            <w:tcW w:type="dxa" w:w="737"/>
          </w:tcPr>
          <w:p>
            <w:r/>
            <w:r>
              <w:rPr>
                <w:sz w:val="19"/>
              </w:rPr>
              <w:t>F-06</w:t>
            </w:r>
          </w:p>
        </w:tc>
        <w:tc>
          <w:tcPr>
            <w:tcW w:type="dxa" w:w="2268"/>
          </w:tcPr>
          <w:p>
            <w:r/>
            <w:r>
              <w:rPr>
                <w:sz w:val="19"/>
              </w:rPr>
              <w:t>Comparación regional de adopción digital</w:t>
            </w:r>
          </w:p>
        </w:tc>
        <w:tc>
          <w:tcPr>
            <w:tcW w:type="dxa" w:w="2835"/>
          </w:tcPr>
          <w:p>
            <w:r/>
            <w:r>
              <w:rPr>
                <w:sz w:val="19"/>
              </w:rPr>
              <w:t>World Development Indicators</w:t>
            </w:r>
          </w:p>
        </w:tc>
        <w:tc>
          <w:tcPr>
            <w:tcW w:type="dxa" w:w="1871"/>
          </w:tcPr>
          <w:p>
            <w:r/>
            <w:r>
              <w:rPr>
                <w:sz w:val="19"/>
              </w:rPr>
              <w:t>Banco Mundial</w:t>
            </w:r>
          </w:p>
        </w:tc>
        <w:tc>
          <w:tcPr>
            <w:tcW w:type="dxa" w:w="1361"/>
          </w:tcPr>
          <w:p>
            <w:r/>
            <w:r>
              <w:rPr>
                <w:sz w:val="19"/>
              </w:rPr>
              <w:t>Anual</w:t>
            </w:r>
          </w:p>
        </w:tc>
      </w:tr>
      <w:tr>
        <w:tc>
          <w:tcPr>
            <w:tcW w:type="dxa" w:w="737"/>
          </w:tcPr>
          <w:p>
            <w:r/>
            <w:r>
              <w:rPr>
                <w:sz w:val="19"/>
              </w:rPr>
              <w:t>F-07</w:t>
            </w:r>
          </w:p>
        </w:tc>
        <w:tc>
          <w:tcPr>
            <w:tcW w:type="dxa" w:w="2268"/>
          </w:tcPr>
          <w:p>
            <w:r/>
            <w:r>
              <w:rPr>
                <w:sz w:val="19"/>
              </w:rPr>
              <w:t>Transformación digital del sector salud</w:t>
            </w:r>
          </w:p>
        </w:tc>
        <w:tc>
          <w:tcPr>
            <w:tcW w:type="dxa" w:w="2835"/>
          </w:tcPr>
          <w:p>
            <w:r/>
            <w:r>
              <w:rPr>
                <w:sz w:val="19"/>
              </w:rPr>
              <w:t>Agenda Digital del Sector Salud 2030 / Conectatón IPS Perú</w:t>
            </w:r>
          </w:p>
        </w:tc>
        <w:tc>
          <w:tcPr>
            <w:tcW w:type="dxa" w:w="1871"/>
          </w:tcPr>
          <w:p>
            <w:r/>
            <w:r>
              <w:rPr>
                <w:sz w:val="19"/>
              </w:rPr>
              <w:t>MINSA / OPS-OMS / BID</w:t>
            </w:r>
          </w:p>
        </w:tc>
        <w:tc>
          <w:tcPr>
            <w:tcW w:type="dxa" w:w="1361"/>
          </w:tcPr>
          <w:p>
            <w:r/>
            <w:r>
              <w:rPr>
                <w:sz w:val="19"/>
              </w:rPr>
              <w:t>Anual</w:t>
            </w:r>
          </w:p>
        </w:tc>
      </w:tr>
    </w:tbl>
    <w:p>
      <w:pPr>
        <w:spacing w:after="80"/>
      </w:pPr>
    </w:p>
    <w:p>
      <w:r>
        <w:rPr>
          <w:b/>
        </w:rPr>
        <w:t xml:space="preserve">Criterio de selección. </w:t>
      </w:r>
      <w:r>
        <w:t>Solo se incluyen fuerzas cuya evidencia pueda descargarse y actualizarse en la revisión anual del plan. Una tendencia sin serie disponible no puede monitorearse y, por tanto, no puede sostener un indicador.</w:t>
      </w:r>
    </w:p>
    <w:p>
      <w:pPr>
        <w:spacing w:before="80" w:after="200"/>
        <w:jc w:val="center"/>
      </w:pPr>
      <w:r>
        <w:rPr>
          <w:i/>
          <w:color w:val="595959"/>
        </w:rPr>
        <w:t>Captura de pantalla 1.</w:t>
      </w:r>
    </w:p>
    <w:p>
      <w:pPr>
        <w:pStyle w:val="Heading2"/>
      </w:pPr>
      <w:r>
        <w:t>Paso B — Extraer series del BCRP mediante su API (30 min)</w:t>
      </w:r>
    </w:p>
    <w:p>
      <w:pPr>
        <w:spacing w:after="160"/>
      </w:pPr>
      <w:r>
        <w:rPr>
          <w:b w:val="0"/>
          <w:i w:val="0"/>
        </w:rPr>
        <w:t>Script utilizado (01_marco/VS02_extraccion_bcrp.py):</w:t>
      </w:r>
    </w:p>
    <w:p>
      <w:pPr>
        <w:pStyle w:val="CodeBlock"/>
        <w:shd w:val="clear" w:color="auto" w:fill="F2F2F2"/>
        <w:ind w:left="227"/>
      </w:pPr>
      <w:r>
        <w:rPr>
          <w:rFonts w:ascii="Consolas" w:hAnsi="Consolas"/>
          <w:sz w:val="18"/>
        </w:rPr>
        <w:t>import requests, pandas as pd, hashlib, json</w:t>
      </w:r>
    </w:p>
    <w:p>
      <w:pPr>
        <w:pStyle w:val="CodeBlock"/>
        <w:shd w:val="clear" w:color="auto" w:fill="F2F2F2"/>
        <w:ind w:left="227"/>
      </w:pPr>
      <w:r>
        <w:rPr>
          <w:rFonts w:ascii="Consolas" w:hAnsi="Consolas"/>
          <w:sz w:val="18"/>
        </w:rPr>
        <w:t>from datetime import date</w:t>
      </w:r>
    </w:p>
    <w:p>
      <w:pPr>
        <w:pStyle w:val="CodeBlock"/>
        <w:shd w:val="clear" w:color="auto" w:fill="F2F2F2"/>
        <w:ind w:left="227"/>
      </w:pPr>
      <w:r>
        <w:rPr>
          <w:rFonts w:ascii="Consolas" w:hAnsi="Consolas"/>
          <w:sz w:val="18"/>
        </w:rPr>
        <w:t xml:space="preserve"> </w:t>
      </w:r>
    </w:p>
    <w:p>
      <w:pPr>
        <w:pStyle w:val="CodeBlock"/>
        <w:shd w:val="clear" w:color="auto" w:fill="F2F2F2"/>
        <w:ind w:left="227"/>
      </w:pPr>
      <w:r>
        <w:rPr>
          <w:rFonts w:ascii="Consolas" w:hAnsi="Consolas"/>
          <w:sz w:val="18"/>
        </w:rPr>
        <w:t>BASE = "https://estadisticas.bcrp.gob.pe/estadisticas/series/api"</w:t>
      </w:r>
    </w:p>
    <w:p>
      <w:pPr>
        <w:pStyle w:val="CodeBlock"/>
        <w:shd w:val="clear" w:color="auto" w:fill="F2F2F2"/>
        <w:ind w:left="227"/>
      </w:pPr>
      <w:r>
        <w:rPr>
          <w:rFonts w:ascii="Consolas" w:hAnsi="Consolas"/>
          <w:sz w:val="18"/>
        </w:rPr>
        <w:t>SERIES = {</w:t>
      </w:r>
    </w:p>
    <w:p>
      <w:pPr>
        <w:pStyle w:val="CodeBlock"/>
        <w:shd w:val="clear" w:color="auto" w:fill="F2F2F2"/>
        <w:ind w:left="227"/>
      </w:pPr>
      <w:r>
        <w:rPr>
          <w:rFonts w:ascii="Consolas" w:hAnsi="Consolas"/>
          <w:sz w:val="18"/>
        </w:rPr>
        <w:t xml:space="preserve">    "PN01207PM": "Tipo de cambio interbancario (S/ por US$) — promedio del periodo",</w:t>
      </w:r>
    </w:p>
    <w:p>
      <w:pPr>
        <w:pStyle w:val="CodeBlock"/>
        <w:shd w:val="clear" w:color="auto" w:fill="F2F2F2"/>
        <w:ind w:left="227"/>
      </w:pPr>
      <w:r>
        <w:rPr>
          <w:rFonts w:ascii="Consolas" w:hAnsi="Consolas"/>
          <w:sz w:val="18"/>
        </w:rPr>
        <w:t xml:space="preserve">    "PN01273PM": "IPC de Lima Metropolitana — variación % de los últimos 12 meses",</w:t>
      </w:r>
    </w:p>
    <w:p>
      <w:pPr>
        <w:pStyle w:val="CodeBlock"/>
        <w:shd w:val="clear" w:color="auto" w:fill="F2F2F2"/>
        <w:ind w:left="227"/>
      </w:pPr>
      <w:r>
        <w:rPr>
          <w:rFonts w:ascii="Consolas" w:hAnsi="Consolas"/>
          <w:sz w:val="18"/>
        </w:rPr>
        <w:t xml:space="preserve">    "PN01770AM": "Producto bruto interno — índice 2007 = 100",</w:t>
      </w:r>
    </w:p>
    <w:p>
      <w:pPr>
        <w:pStyle w:val="CodeBlock"/>
        <w:shd w:val="clear" w:color="auto" w:fill="F2F2F2"/>
        <w:ind w:left="227"/>
      </w:pPr>
      <w:r>
        <w:rPr>
          <w:rFonts w:ascii="Consolas" w:hAnsi="Consolas"/>
          <w:sz w:val="18"/>
        </w:rPr>
        <w:t>}</w:t>
      </w:r>
    </w:p>
    <w:p>
      <w:pPr>
        <w:pStyle w:val="CodeBlock"/>
        <w:shd w:val="clear" w:color="auto" w:fill="F2F2F2"/>
        <w:ind w:left="227"/>
      </w:pPr>
      <w:r>
        <w:rPr>
          <w:rFonts w:ascii="Consolas" w:hAnsi="Consolas"/>
          <w:sz w:val="18"/>
        </w:rPr>
        <w:t xml:space="preserve"> </w:t>
      </w:r>
    </w:p>
    <w:p>
      <w:pPr>
        <w:pStyle w:val="CodeBlock"/>
        <w:shd w:val="clear" w:color="auto" w:fill="F2F2F2"/>
        <w:ind w:left="227"/>
      </w:pPr>
      <w:r>
        <w:rPr>
          <w:rFonts w:ascii="Consolas" w:hAnsi="Consolas"/>
          <w:sz w:val="18"/>
        </w:rPr>
        <w:t>def serie_bcrp(codigo, desde, hasta):</w:t>
      </w:r>
    </w:p>
    <w:p>
      <w:pPr>
        <w:pStyle w:val="CodeBlock"/>
        <w:shd w:val="clear" w:color="auto" w:fill="F2F2F2"/>
        <w:ind w:left="227"/>
      </w:pPr>
      <w:r>
        <w:rPr>
          <w:rFonts w:ascii="Consolas" w:hAnsi="Consolas"/>
          <w:sz w:val="18"/>
        </w:rPr>
        <w:t xml:space="preserve">    url = f"{BASE}/{codigo}/json/{desde}/{hasta}/esp"</w:t>
      </w:r>
    </w:p>
    <w:p>
      <w:pPr>
        <w:pStyle w:val="CodeBlock"/>
        <w:shd w:val="clear" w:color="auto" w:fill="F2F2F2"/>
        <w:ind w:left="227"/>
      </w:pPr>
      <w:r>
        <w:rPr>
          <w:rFonts w:ascii="Consolas" w:hAnsi="Consolas"/>
          <w:sz w:val="18"/>
        </w:rPr>
        <w:t xml:space="preserve">    r = requests.get(url, timeout=30); r.raise_for_status()</w:t>
      </w:r>
    </w:p>
    <w:p>
      <w:pPr>
        <w:pStyle w:val="CodeBlock"/>
        <w:shd w:val="clear" w:color="auto" w:fill="F2F2F2"/>
        <w:ind w:left="227"/>
      </w:pPr>
      <w:r>
        <w:rPr>
          <w:rFonts w:ascii="Consolas" w:hAnsi="Consolas"/>
          <w:sz w:val="18"/>
        </w:rPr>
        <w:t xml:space="preserve">    d = r.json()</w:t>
      </w:r>
    </w:p>
    <w:p>
      <w:pPr>
        <w:pStyle w:val="CodeBlock"/>
        <w:shd w:val="clear" w:color="auto" w:fill="F2F2F2"/>
        <w:ind w:left="227"/>
      </w:pPr>
      <w:r>
        <w:rPr>
          <w:rFonts w:ascii="Consolas" w:hAnsi="Consolas"/>
          <w:sz w:val="18"/>
        </w:rPr>
        <w:t xml:space="preserve">    df = pd.DataFrame([{"periodo": p["name"], "valor": p["values"][0]} for p in d["periods"]])</w:t>
      </w:r>
    </w:p>
    <w:p>
      <w:pPr>
        <w:pStyle w:val="CodeBlock"/>
        <w:shd w:val="clear" w:color="auto" w:fill="F2F2F2"/>
        <w:ind w:left="227"/>
      </w:pPr>
      <w:r>
        <w:rPr>
          <w:rFonts w:ascii="Consolas" w:hAnsi="Consolas"/>
          <w:sz w:val="18"/>
        </w:rPr>
        <w:t xml:space="preserve">    df["hash_respuesta"] = hashlib.sha256(r.content).hexdigest()[:16]</w:t>
      </w:r>
    </w:p>
    <w:p>
      <w:pPr>
        <w:pStyle w:val="CodeBlock"/>
        <w:shd w:val="clear" w:color="auto" w:fill="F2F2F2"/>
        <w:ind w:left="227"/>
      </w:pPr>
      <w:r>
        <w:rPr>
          <w:rFonts w:ascii="Consolas" w:hAnsi="Consolas"/>
          <w:sz w:val="18"/>
        </w:rPr>
        <w:t xml:space="preserve">    return df</w:t>
      </w:r>
    </w:p>
    <w:p>
      <w:pPr>
        <w:spacing w:after="160"/>
      </w:pPr>
      <w:r>
        <w:rPr>
          <w:b w:val="0"/>
          <w:i w:val="0"/>
        </w:rPr>
        <w:t>Resultado real obtenido (serie PN01207PM, tipo de cambio interbancario, extracto):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6285C"/>
          </w:tcPr>
          <w:p>
            <w:r/>
            <w:r>
              <w:rPr>
                <w:b/>
                <w:color w:val="FFFFFF"/>
                <w:sz w:val="19"/>
              </w:rPr>
              <w:t>Periodo</w:t>
            </w:r>
          </w:p>
        </w:tc>
        <w:tc>
          <w:tcPr>
            <w:tcW w:type="dxa" w:w="3402"/>
            <w:shd w:val="clear" w:color="auto" w:fill="16285C"/>
          </w:tcPr>
          <w:p>
            <w:r/>
            <w:r>
              <w:rPr>
                <w:b/>
                <w:color w:val="FFFFFF"/>
                <w:sz w:val="19"/>
              </w:rPr>
              <w:t>Valor (S/ por US$)</w:t>
            </w:r>
          </w:p>
        </w:tc>
      </w:tr>
      <w:tr>
        <w:tc>
          <w:tcPr>
            <w:tcW w:type="dxa" w:w="2268"/>
          </w:tcPr>
          <w:p>
            <w:r/>
            <w:r>
              <w:rPr>
                <w:sz w:val="19"/>
              </w:rPr>
              <w:t>2024-06</w:t>
            </w:r>
          </w:p>
        </w:tc>
        <w:tc>
          <w:tcPr>
            <w:tcW w:type="dxa" w:w="3402"/>
          </w:tcPr>
          <w:p>
            <w:r/>
            <w:r>
              <w:rPr>
                <w:sz w:val="19"/>
              </w:rPr>
              <w:t>3.787</w:t>
            </w:r>
          </w:p>
        </w:tc>
      </w:tr>
      <w:tr>
        <w:tc>
          <w:tcPr>
            <w:tcW w:type="dxa" w:w="2268"/>
          </w:tcPr>
          <w:p>
            <w:r/>
            <w:r>
              <w:rPr>
                <w:sz w:val="19"/>
              </w:rPr>
              <w:t>2024-12</w:t>
            </w:r>
          </w:p>
        </w:tc>
        <w:tc>
          <w:tcPr>
            <w:tcW w:type="dxa" w:w="3402"/>
          </w:tcPr>
          <w:p>
            <w:r/>
            <w:r>
              <w:rPr>
                <w:sz w:val="19"/>
              </w:rPr>
              <w:t>3.736</w:t>
            </w:r>
          </w:p>
        </w:tc>
      </w:tr>
      <w:tr>
        <w:tc>
          <w:tcPr>
            <w:tcW w:type="dxa" w:w="2268"/>
          </w:tcPr>
          <w:p>
            <w:r/>
            <w:r>
              <w:rPr>
                <w:sz w:val="19"/>
              </w:rPr>
              <w:t>2025-06</w:t>
            </w:r>
          </w:p>
        </w:tc>
        <w:tc>
          <w:tcPr>
            <w:tcW w:type="dxa" w:w="3402"/>
          </w:tcPr>
          <w:p>
            <w:r/>
            <w:r>
              <w:rPr>
                <w:sz w:val="19"/>
              </w:rPr>
              <w:t>3.602</w:t>
            </w:r>
          </w:p>
        </w:tc>
      </w:tr>
      <w:tr>
        <w:tc>
          <w:tcPr>
            <w:tcW w:type="dxa" w:w="2268"/>
          </w:tcPr>
          <w:p>
            <w:r/>
            <w:r>
              <w:rPr>
                <w:sz w:val="19"/>
              </w:rPr>
              <w:t>2025-12</w:t>
            </w:r>
          </w:p>
        </w:tc>
        <w:tc>
          <w:tcPr>
            <w:tcW w:type="dxa" w:w="3402"/>
          </w:tcPr>
          <w:p>
            <w:r/>
            <w:r>
              <w:rPr>
                <w:sz w:val="19"/>
              </w:rPr>
              <w:t>3.367</w:t>
            </w:r>
          </w:p>
        </w:tc>
      </w:tr>
      <w:tr>
        <w:tc>
          <w:tcPr>
            <w:tcW w:type="dxa" w:w="2268"/>
          </w:tcPr>
          <w:p>
            <w:r/>
            <w:r>
              <w:rPr>
                <w:sz w:val="19"/>
              </w:rPr>
              <w:t>2026-03</w:t>
            </w:r>
          </w:p>
        </w:tc>
        <w:tc>
          <w:tcPr>
            <w:tcW w:type="dxa" w:w="3402"/>
          </w:tcPr>
          <w:p>
            <w:r/>
            <w:r>
              <w:rPr>
                <w:sz w:val="19"/>
              </w:rPr>
              <w:t>3.448</w:t>
            </w:r>
          </w:p>
        </w:tc>
      </w:tr>
      <w:tr>
        <w:tc>
          <w:tcPr>
            <w:tcW w:type="dxa" w:w="2268"/>
          </w:tcPr>
          <w:p>
            <w:r/>
            <w:r>
              <w:rPr>
                <w:sz w:val="19"/>
              </w:rPr>
              <w:t>2026-06</w:t>
            </w:r>
          </w:p>
        </w:tc>
        <w:tc>
          <w:tcPr>
            <w:tcW w:type="dxa" w:w="3402"/>
          </w:tcPr>
          <w:p>
            <w:r/>
            <w:r>
              <w:rPr>
                <w:sz w:val="19"/>
              </w:rPr>
              <w:t>3.406</w:t>
            </w:r>
          </w:p>
        </w:tc>
      </w:tr>
    </w:tbl>
    <w:p>
      <w:pPr>
        <w:spacing w:after="80"/>
      </w:pPr>
    </w:p>
    <w:p>
      <w:pPr>
        <w:spacing w:after="160"/>
      </w:pPr>
      <w:r>
        <w:rPr>
          <w:b w:val="0"/>
          <w:i w:val="0"/>
        </w:rPr>
        <w:t>Fuente: BCRP, serie PN01207PM. Fecha de descarga: 27/08/2026. La comparación entre junio de 2024 (S/ 3.787) y junio de 2026 (S/ 3.406) muestra una apreciación del sol de 10.06 % en 24 meses, con una reversión parcial entre diciembre de 2025 (S/ 3.367) y marzo de 2026 (S/ 3.448).</w:t>
      </w:r>
    </w:p>
    <w:p>
      <w:pPr>
        <w:spacing w:before="80" w:after="200"/>
        <w:jc w:val="center"/>
      </w:pPr>
      <w:r>
        <w:rPr>
          <w:i/>
          <w:color w:val="595959"/>
        </w:rPr>
        <w:t>Captura de pantalla 2.</w:t>
      </w:r>
    </w:p>
    <w:p>
      <w:pPr>
        <w:pStyle w:val="Heading2"/>
      </w:pPr>
      <w:r>
        <w:t>Paso C — Extraer indicadores del Banco Mundial (20 min)</w:t>
      </w:r>
    </w:p>
    <w:p>
      <w:pPr>
        <w:spacing w:after="160"/>
      </w:pPr>
      <w:r>
        <w:rPr>
          <w:b w:val="0"/>
          <w:i w:val="0"/>
        </w:rPr>
        <w:t>Script utilizado (01_marco/VS03_extraccion_bm.py), con comparación regional Perú, Chile, Colombia, México y Brasil:</w:t>
      </w:r>
    </w:p>
    <w:p>
      <w:pPr>
        <w:pStyle w:val="CodeBlock"/>
        <w:shd w:val="clear" w:color="auto" w:fill="F2F2F2"/>
        <w:ind w:left="227"/>
      </w:pPr>
      <w:r>
        <w:rPr>
          <w:rFonts w:ascii="Consolas" w:hAnsi="Consolas"/>
          <w:sz w:val="18"/>
        </w:rPr>
        <w:t>IND = {</w:t>
      </w:r>
    </w:p>
    <w:p>
      <w:pPr>
        <w:pStyle w:val="CodeBlock"/>
        <w:shd w:val="clear" w:color="auto" w:fill="F2F2F2"/>
        <w:ind w:left="227"/>
      </w:pPr>
      <w:r>
        <w:rPr>
          <w:rFonts w:ascii="Consolas" w:hAnsi="Consolas"/>
          <w:sz w:val="18"/>
        </w:rPr>
        <w:t xml:space="preserve">    "IT.NET.USER.ZS": "Personas que usan Internet (% de la población)",</w:t>
      </w:r>
    </w:p>
    <w:p>
      <w:pPr>
        <w:pStyle w:val="CodeBlock"/>
        <w:shd w:val="clear" w:color="auto" w:fill="F2F2F2"/>
        <w:ind w:left="227"/>
      </w:pPr>
      <w:r>
        <w:rPr>
          <w:rFonts w:ascii="Consolas" w:hAnsi="Consolas"/>
          <w:sz w:val="18"/>
        </w:rPr>
        <w:t xml:space="preserve">    "IT.CEL.SETS.P2": "Suscripciones a telefonía móvil (por cada 100 personas)",</w:t>
      </w:r>
    </w:p>
    <w:p>
      <w:pPr>
        <w:pStyle w:val="CodeBlock"/>
        <w:shd w:val="clear" w:color="auto" w:fill="F2F2F2"/>
        <w:ind w:left="227"/>
      </w:pPr>
      <w:r>
        <w:rPr>
          <w:rFonts w:ascii="Consolas" w:hAnsi="Consolas"/>
          <w:sz w:val="18"/>
        </w:rPr>
        <w:t>}</w:t>
      </w:r>
    </w:p>
    <w:p>
      <w:pPr>
        <w:pStyle w:val="CodeBlock"/>
        <w:shd w:val="clear" w:color="auto" w:fill="F2F2F2"/>
        <w:ind w:left="227"/>
      </w:pPr>
      <w:r>
        <w:rPr>
          <w:rFonts w:ascii="Consolas" w:hAnsi="Consolas"/>
          <w:sz w:val="18"/>
        </w:rPr>
        <w:t>PAISES = "PER;CHL;COL;MEX;BRA"</w:t>
      </w:r>
    </w:p>
    <w:p>
      <w:pPr>
        <w:pStyle w:val="CodeBlock"/>
        <w:shd w:val="clear" w:color="auto" w:fill="F2F2F2"/>
        <w:ind w:left="227"/>
      </w:pPr>
      <w:r>
        <w:rPr>
          <w:rFonts w:ascii="Consolas" w:hAnsi="Consolas"/>
          <w:sz w:val="18"/>
        </w:rPr>
        <w:t>url = (f'https://api.worldbank.org/v2/country/{PAISES}/indicator/{cod}'</w:t>
      </w:r>
    </w:p>
    <w:p>
      <w:pPr>
        <w:pStyle w:val="CodeBlock"/>
        <w:shd w:val="clear" w:color="auto" w:fill="F2F2F2"/>
        <w:ind w:left="227"/>
      </w:pPr>
      <w:r>
        <w:rPr>
          <w:rFonts w:ascii="Consolas" w:hAnsi="Consolas"/>
          <w:sz w:val="18"/>
        </w:rPr>
        <w:t xml:space="preserve">       f'?format=json&amp;date=2018:2024&amp;per_page=500')</w:t>
      </w:r>
    </w:p>
    <w:p>
      <w:pPr>
        <w:spacing w:after="160"/>
      </w:pPr>
      <w:r>
        <w:rPr>
          <w:b w:val="0"/>
          <w:i w:val="0"/>
        </w:rPr>
        <w:t>Resultado real obtenido — personas que usan Internet, % de la población (2024):</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6285C"/>
          </w:tcPr>
          <w:p>
            <w:r/>
            <w:r>
              <w:rPr>
                <w:b/>
                <w:color w:val="FFFFFF"/>
                <w:sz w:val="19"/>
              </w:rPr>
              <w:t>País</w:t>
            </w:r>
          </w:p>
        </w:tc>
        <w:tc>
          <w:tcPr>
            <w:tcW w:type="dxa" w:w="3402"/>
            <w:shd w:val="clear" w:color="auto" w:fill="16285C"/>
          </w:tcPr>
          <w:p>
            <w:r/>
            <w:r>
              <w:rPr>
                <w:b/>
                <w:color w:val="FFFFFF"/>
                <w:sz w:val="19"/>
              </w:rPr>
              <w:t>% de la población</w:t>
            </w:r>
          </w:p>
        </w:tc>
      </w:tr>
      <w:tr>
        <w:tc>
          <w:tcPr>
            <w:tcW w:type="dxa" w:w="3402"/>
          </w:tcPr>
          <w:p>
            <w:r/>
            <w:r>
              <w:rPr>
                <w:sz w:val="19"/>
              </w:rPr>
              <w:t>Chile</w:t>
            </w:r>
          </w:p>
        </w:tc>
        <w:tc>
          <w:tcPr>
            <w:tcW w:type="dxa" w:w="3402"/>
          </w:tcPr>
          <w:p>
            <w:r/>
            <w:r>
              <w:rPr>
                <w:sz w:val="19"/>
              </w:rPr>
              <w:t>95.59</w:t>
            </w:r>
          </w:p>
        </w:tc>
      </w:tr>
      <w:tr>
        <w:tc>
          <w:tcPr>
            <w:tcW w:type="dxa" w:w="3402"/>
          </w:tcPr>
          <w:p>
            <w:r/>
            <w:r>
              <w:rPr>
                <w:sz w:val="19"/>
              </w:rPr>
              <w:t>Brasil</w:t>
            </w:r>
          </w:p>
        </w:tc>
        <w:tc>
          <w:tcPr>
            <w:tcW w:type="dxa" w:w="3402"/>
          </w:tcPr>
          <w:p>
            <w:r/>
            <w:r>
              <w:rPr>
                <w:sz w:val="19"/>
              </w:rPr>
              <w:t>84.46</w:t>
            </w:r>
          </w:p>
        </w:tc>
      </w:tr>
      <w:tr>
        <w:tc>
          <w:tcPr>
            <w:tcW w:type="dxa" w:w="3402"/>
          </w:tcPr>
          <w:p>
            <w:r/>
            <w:r>
              <w:rPr>
                <w:sz w:val="19"/>
              </w:rPr>
              <w:t>México</w:t>
            </w:r>
          </w:p>
        </w:tc>
        <w:tc>
          <w:tcPr>
            <w:tcW w:type="dxa" w:w="3402"/>
          </w:tcPr>
          <w:p>
            <w:r/>
            <w:r>
              <w:rPr>
                <w:sz w:val="19"/>
              </w:rPr>
              <w:t>83.12</w:t>
            </w:r>
          </w:p>
        </w:tc>
      </w:tr>
      <w:tr>
        <w:tc>
          <w:tcPr>
            <w:tcW w:type="dxa" w:w="3402"/>
          </w:tcPr>
          <w:p>
            <w:r/>
            <w:r>
              <w:rPr>
                <w:sz w:val="19"/>
              </w:rPr>
              <w:t>Perú</w:t>
            </w:r>
          </w:p>
        </w:tc>
        <w:tc>
          <w:tcPr>
            <w:tcW w:type="dxa" w:w="3402"/>
          </w:tcPr>
          <w:p>
            <w:r/>
            <w:r>
              <w:rPr>
                <w:sz w:val="19"/>
              </w:rPr>
              <w:t>81.96</w:t>
            </w:r>
          </w:p>
        </w:tc>
      </w:tr>
      <w:tr>
        <w:tc>
          <w:tcPr>
            <w:tcW w:type="dxa" w:w="3402"/>
          </w:tcPr>
          <w:p>
            <w:r/>
            <w:r>
              <w:rPr>
                <w:sz w:val="19"/>
              </w:rPr>
              <w:t>Colombia</w:t>
            </w:r>
          </w:p>
        </w:tc>
        <w:tc>
          <w:tcPr>
            <w:tcW w:type="dxa" w:w="3402"/>
          </w:tcPr>
          <w:p>
            <w:r/>
            <w:r>
              <w:rPr>
                <w:sz w:val="19"/>
              </w:rPr>
              <w:t>79.35</w:t>
            </w:r>
          </w:p>
        </w:tc>
      </w:tr>
    </w:tbl>
    <w:p>
      <w:pPr>
        <w:spacing w:after="80"/>
      </w:pPr>
    </w:p>
    <w:p>
      <w:pPr>
        <w:spacing w:after="160"/>
      </w:pPr>
      <w:r>
        <w:rPr>
          <w:b w:val="0"/>
          <w:i w:val="0"/>
        </w:rPr>
        <w:t>Suscripciones a telefonía móvil por cada 100 personas (2024):</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6285C"/>
          </w:tcPr>
          <w:p>
            <w:r/>
            <w:r>
              <w:rPr>
                <w:b/>
                <w:color w:val="FFFFFF"/>
                <w:sz w:val="19"/>
              </w:rPr>
              <w:t>País</w:t>
            </w:r>
          </w:p>
        </w:tc>
        <w:tc>
          <w:tcPr>
            <w:tcW w:type="dxa" w:w="3402"/>
            <w:shd w:val="clear" w:color="auto" w:fill="16285C"/>
          </w:tcPr>
          <w:p>
            <w:r/>
            <w:r>
              <w:rPr>
                <w:b/>
                <w:color w:val="FFFFFF"/>
                <w:sz w:val="19"/>
              </w:rPr>
              <w:t>Suscripciones / 100 hab.</w:t>
            </w:r>
          </w:p>
        </w:tc>
      </w:tr>
      <w:tr>
        <w:tc>
          <w:tcPr>
            <w:tcW w:type="dxa" w:w="3402"/>
          </w:tcPr>
          <w:p>
            <w:r/>
            <w:r>
              <w:rPr>
                <w:sz w:val="19"/>
              </w:rPr>
              <w:t>Colombia</w:t>
            </w:r>
          </w:p>
        </w:tc>
        <w:tc>
          <w:tcPr>
            <w:tcW w:type="dxa" w:w="3402"/>
          </w:tcPr>
          <w:p>
            <w:r/>
            <w:r>
              <w:rPr>
                <w:sz w:val="19"/>
              </w:rPr>
              <w:t>174.09</w:t>
            </w:r>
          </w:p>
        </w:tc>
      </w:tr>
      <w:tr>
        <w:tc>
          <w:tcPr>
            <w:tcW w:type="dxa" w:w="3402"/>
          </w:tcPr>
          <w:p>
            <w:r/>
            <w:r>
              <w:rPr>
                <w:sz w:val="19"/>
              </w:rPr>
              <w:t>Chile</w:t>
            </w:r>
          </w:p>
        </w:tc>
        <w:tc>
          <w:tcPr>
            <w:tcW w:type="dxa" w:w="3402"/>
          </w:tcPr>
          <w:p>
            <w:r/>
            <w:r>
              <w:rPr>
                <w:sz w:val="19"/>
              </w:rPr>
              <w:t>132.66</w:t>
            </w:r>
          </w:p>
        </w:tc>
      </w:tr>
      <w:tr>
        <w:tc>
          <w:tcPr>
            <w:tcW w:type="dxa" w:w="3402"/>
          </w:tcPr>
          <w:p>
            <w:r/>
            <w:r>
              <w:rPr>
                <w:sz w:val="19"/>
              </w:rPr>
              <w:t>Perú</w:t>
            </w:r>
          </w:p>
        </w:tc>
        <w:tc>
          <w:tcPr>
            <w:tcW w:type="dxa" w:w="3402"/>
          </w:tcPr>
          <w:p>
            <w:r/>
            <w:r>
              <w:rPr>
                <w:sz w:val="19"/>
              </w:rPr>
              <w:t>124.62</w:t>
            </w:r>
          </w:p>
        </w:tc>
      </w:tr>
      <w:tr>
        <w:tc>
          <w:tcPr>
            <w:tcW w:type="dxa" w:w="3402"/>
          </w:tcPr>
          <w:p>
            <w:r/>
            <w:r>
              <w:rPr>
                <w:sz w:val="19"/>
              </w:rPr>
              <w:t>México</w:t>
            </w:r>
          </w:p>
        </w:tc>
        <w:tc>
          <w:tcPr>
            <w:tcW w:type="dxa" w:w="3402"/>
          </w:tcPr>
          <w:p>
            <w:r/>
            <w:r>
              <w:rPr>
                <w:sz w:val="19"/>
              </w:rPr>
              <w:t>116.49</w:t>
            </w:r>
          </w:p>
        </w:tc>
      </w:tr>
      <w:tr>
        <w:tc>
          <w:tcPr>
            <w:tcW w:type="dxa" w:w="3402"/>
          </w:tcPr>
          <w:p>
            <w:r/>
            <w:r>
              <w:rPr>
                <w:sz w:val="19"/>
              </w:rPr>
              <w:t>Brasil</w:t>
            </w:r>
          </w:p>
        </w:tc>
        <w:tc>
          <w:tcPr>
            <w:tcW w:type="dxa" w:w="3402"/>
          </w:tcPr>
          <w:p>
            <w:r/>
            <w:r>
              <w:rPr>
                <w:sz w:val="19"/>
              </w:rPr>
              <w:t>101.93</w:t>
            </w:r>
          </w:p>
        </w:tc>
      </w:tr>
    </w:tbl>
    <w:p>
      <w:pPr>
        <w:spacing w:after="80"/>
      </w:pPr>
    </w:p>
    <w:p>
      <w:pPr>
        <w:spacing w:after="160"/>
      </w:pPr>
      <w:r>
        <w:rPr>
          <w:b w:val="0"/>
          <w:i w:val="0"/>
        </w:rPr>
        <w:t>Fuente: Banco Mundial, World Development Indicators. Perú se ubica por debajo de Chile, Brasil y México en adopción de Internet, y por debajo de Colombia y Chile en penetración móvil.</w:t>
      </w:r>
    </w:p>
    <w:p>
      <w:pPr>
        <w:spacing w:before="80" w:after="200"/>
        <w:jc w:val="center"/>
      </w:pPr>
      <w:r>
        <w:rPr>
          <w:i/>
          <w:color w:val="595959"/>
        </w:rPr>
        <w:t>Captura de pantalla 3.</w:t>
      </w:r>
    </w:p>
    <w:p>
      <w:pPr>
        <w:pStyle w:val="Heading2"/>
      </w:pPr>
      <w:r>
        <w:t>Paso D — Visualizar y construir la matriz de vigilancia (30 min)</w:t>
      </w:r>
    </w:p>
    <w:p>
      <w:pPr>
        <w:spacing w:after="160"/>
      </w:pPr>
      <w:r>
        <w:rPr>
          <w:b w:val="0"/>
          <w:i w:val="0"/>
        </w:rPr>
        <w:t>Se generó el gráfico de contexto (01_marco/VS04_graficos.py → graficos/VS_contexto.png) a partir de las series reales extraídas en los pasos B y C:</w:t>
      </w:r>
    </w:p>
    <w:p>
      <w:pPr>
        <w:jc w:val="center"/>
      </w:pPr>
      <w:r>
        <w:drawing>
          <wp:inline xmlns:a="http://schemas.openxmlformats.org/drawingml/2006/main" xmlns:pic="http://schemas.openxmlformats.org/drawingml/2006/picture">
            <wp:extent cx="5760000" cy="2208000"/>
            <wp:docPr id="1" name="Picture 1"/>
            <wp:cNvGraphicFramePr>
              <a:graphicFrameLocks noChangeAspect="1"/>
            </wp:cNvGraphicFramePr>
            <a:graphic>
              <a:graphicData uri="http://schemas.openxmlformats.org/drawingml/2006/picture">
                <pic:pic>
                  <pic:nvPicPr>
                    <pic:cNvPr id="0" name="VS_contexto.png"/>
                    <pic:cNvPicPr/>
                  </pic:nvPicPr>
                  <pic:blipFill>
                    <a:blip r:embed="rId9"/>
                    <a:stretch>
                      <a:fillRect/>
                    </a:stretch>
                  </pic:blipFill>
                  <pic:spPr>
                    <a:xfrm>
                      <a:off x="0" y="0"/>
                      <a:ext cx="5760000" cy="2208000"/>
                    </a:xfrm>
                    <a:prstGeom prst="rect"/>
                  </pic:spPr>
                </pic:pic>
              </a:graphicData>
            </a:graphic>
          </wp:inline>
        </w:drawing>
      </w:r>
    </w:p>
    <w:p>
      <w:pPr>
        <w:jc w:val="center"/>
      </w:pPr>
      <w:r>
        <w:rPr>
          <w:i/>
          <w:sz w:val="18"/>
        </w:rPr>
        <w:t>Figura 1. Tipo de cambio interbancario 2024–2026 (izquierda) y comparación regional de usuarios de Internet, 2024 (derecha).</w:t>
      </w:r>
    </w:p>
    <w:p>
      <w:pPr>
        <w:spacing w:after="160"/>
      </w:pPr>
      <w:r>
        <w:rPr>
          <w:b w:val="0"/>
          <w:i w:val="0"/>
        </w:rPr>
        <w:t>Con ambas series y la matriz de fuentes del Paso A, se construyó la matriz de vigilancia estratégica (01_marco/VS05_matriz_vigilancia.csv), el producto que se incorpora al PETI:</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567"/>
            <w:shd w:val="clear" w:color="auto" w:fill="16285C"/>
          </w:tcPr>
          <w:p>
            <w:r/>
            <w:r>
              <w:rPr>
                <w:b/>
                <w:color w:val="FFFFFF"/>
                <w:sz w:val="19"/>
              </w:rPr>
              <w:t>id</w:t>
            </w:r>
          </w:p>
        </w:tc>
        <w:tc>
          <w:tcPr>
            <w:tcW w:type="dxa" w:w="1701"/>
            <w:shd w:val="clear" w:color="auto" w:fill="16285C"/>
          </w:tcPr>
          <w:p>
            <w:r/>
            <w:r>
              <w:rPr>
                <w:b/>
                <w:color w:val="FFFFFF"/>
                <w:sz w:val="19"/>
              </w:rPr>
              <w:t>Fuerza</w:t>
            </w:r>
          </w:p>
        </w:tc>
        <w:tc>
          <w:tcPr>
            <w:tcW w:type="dxa" w:w="2381"/>
            <w:shd w:val="clear" w:color="auto" w:fill="16285C"/>
          </w:tcPr>
          <w:p>
            <w:r/>
            <w:r>
              <w:rPr>
                <w:b/>
                <w:color w:val="FFFFFF"/>
                <w:sz w:val="19"/>
              </w:rPr>
              <w:t>Evidencia</w:t>
            </w:r>
          </w:p>
        </w:tc>
        <w:tc>
          <w:tcPr>
            <w:tcW w:type="dxa" w:w="1361"/>
            <w:shd w:val="clear" w:color="auto" w:fill="16285C"/>
          </w:tcPr>
          <w:p>
            <w:r/>
            <w:r>
              <w:rPr>
                <w:b/>
                <w:color w:val="FFFFFF"/>
                <w:sz w:val="19"/>
              </w:rPr>
              <w:t>Fuente y año</w:t>
            </w:r>
          </w:p>
        </w:tc>
        <w:tc>
          <w:tcPr>
            <w:tcW w:type="dxa" w:w="1020"/>
            <w:shd w:val="clear" w:color="auto" w:fill="16285C"/>
          </w:tcPr>
          <w:p>
            <w:r/>
            <w:r>
              <w:rPr>
                <w:b/>
                <w:color w:val="FFFFFF"/>
                <w:sz w:val="19"/>
              </w:rPr>
              <w:t>Tipo</w:t>
            </w:r>
          </w:p>
        </w:tc>
        <w:tc>
          <w:tcPr>
            <w:tcW w:type="dxa" w:w="737"/>
            <w:shd w:val="clear" w:color="auto" w:fill="16285C"/>
          </w:tcPr>
          <w:p>
            <w:r/>
            <w:r>
              <w:rPr>
                <w:b/>
                <w:color w:val="FFFFFF"/>
                <w:sz w:val="19"/>
              </w:rPr>
              <w:t>Horizonte</w:t>
            </w:r>
          </w:p>
        </w:tc>
        <w:tc>
          <w:tcPr>
            <w:tcW w:type="dxa" w:w="1871"/>
            <w:shd w:val="clear" w:color="auto" w:fill="16285C"/>
          </w:tcPr>
          <w:p>
            <w:r/>
            <w:r>
              <w:rPr>
                <w:b/>
                <w:color w:val="FFFFFF"/>
                <w:sz w:val="19"/>
              </w:rPr>
              <w:t>Decisión que obliga</w:t>
            </w:r>
          </w:p>
        </w:tc>
      </w:tr>
      <w:tr>
        <w:tc>
          <w:tcPr>
            <w:tcW w:type="dxa" w:w="567"/>
          </w:tcPr>
          <w:p>
            <w:r/>
            <w:r>
              <w:rPr>
                <w:sz w:val="19"/>
              </w:rPr>
              <w:t>T-01</w:t>
            </w:r>
          </w:p>
        </w:tc>
        <w:tc>
          <w:tcPr>
            <w:tcW w:type="dxa" w:w="1701"/>
          </w:tcPr>
          <w:p>
            <w:r/>
            <w:r>
              <w:rPr>
                <w:sz w:val="19"/>
              </w:rPr>
              <w:t>Conectividad digital de los clientes</w:t>
            </w:r>
          </w:p>
        </w:tc>
        <w:tc>
          <w:tcPr>
            <w:tcW w:type="dxa" w:w="2381"/>
          </w:tcPr>
          <w:p>
            <w:r/>
            <w:r>
              <w:rPr>
                <w:sz w:val="19"/>
              </w:rPr>
              <w:t>58.9% de hogares con Internet (1T-2025), +0.5 p.p. vs 1T-2024</w:t>
            </w:r>
          </w:p>
        </w:tc>
        <w:tc>
          <w:tcPr>
            <w:tcW w:type="dxa" w:w="1361"/>
          </w:tcPr>
          <w:p>
            <w:r/>
            <w:r>
              <w:rPr>
                <w:sz w:val="19"/>
              </w:rPr>
              <w:t>INEI, ENAHO, 2025</w:t>
            </w:r>
          </w:p>
        </w:tc>
        <w:tc>
          <w:tcPr>
            <w:tcW w:type="dxa" w:w="1020"/>
          </w:tcPr>
          <w:p>
            <w:r/>
            <w:r>
              <w:rPr>
                <w:sz w:val="19"/>
              </w:rPr>
              <w:t>Oportunidad</w:t>
            </w:r>
          </w:p>
        </w:tc>
        <w:tc>
          <w:tcPr>
            <w:tcW w:type="dxa" w:w="737"/>
          </w:tcPr>
          <w:p>
            <w:r/>
            <w:r>
              <w:rPr>
                <w:sz w:val="19"/>
              </w:rPr>
              <w:t>12-24 m</w:t>
            </w:r>
          </w:p>
        </w:tc>
        <w:tc>
          <w:tcPr>
            <w:tcW w:type="dxa" w:w="1871"/>
          </w:tcPr>
          <w:p>
            <w:r/>
            <w:r>
              <w:rPr>
                <w:sz w:val="19"/>
              </w:rPr>
              <w:t>Evaluar inversión en canal digital de atención al cliente</w:t>
            </w:r>
          </w:p>
        </w:tc>
      </w:tr>
      <w:tr>
        <w:tc>
          <w:tcPr>
            <w:tcW w:type="dxa" w:w="567"/>
          </w:tcPr>
          <w:p>
            <w:r/>
            <w:r>
              <w:rPr>
                <w:sz w:val="19"/>
              </w:rPr>
              <w:t>T-02</w:t>
            </w:r>
          </w:p>
        </w:tc>
        <w:tc>
          <w:tcPr>
            <w:tcW w:type="dxa" w:w="1701"/>
          </w:tcPr>
          <w:p>
            <w:r/>
            <w:r>
              <w:rPr>
                <w:sz w:val="19"/>
              </w:rPr>
              <w:t>Apreciación del sol frente al dólar</w:t>
            </w:r>
          </w:p>
        </w:tc>
        <w:tc>
          <w:tcPr>
            <w:tcW w:type="dxa" w:w="2381"/>
          </w:tcPr>
          <w:p>
            <w:r/>
            <w:r>
              <w:rPr>
                <w:sz w:val="19"/>
              </w:rPr>
              <w:t>Tipo de cambio bajó de S/ 3.787 a S/ 3.406 (-10.06%) en 24 meses</w:t>
            </w:r>
          </w:p>
        </w:tc>
        <w:tc>
          <w:tcPr>
            <w:tcW w:type="dxa" w:w="1361"/>
          </w:tcPr>
          <w:p>
            <w:r/>
            <w:r>
              <w:rPr>
                <w:sz w:val="19"/>
              </w:rPr>
              <w:t>BCRP, 2026</w:t>
            </w:r>
          </w:p>
        </w:tc>
        <w:tc>
          <w:tcPr>
            <w:tcW w:type="dxa" w:w="1020"/>
          </w:tcPr>
          <w:p>
            <w:r/>
            <w:r>
              <w:rPr>
                <w:sz w:val="19"/>
              </w:rPr>
              <w:t>Oportunidad</w:t>
            </w:r>
          </w:p>
        </w:tc>
        <w:tc>
          <w:tcPr>
            <w:tcW w:type="dxa" w:w="737"/>
          </w:tcPr>
          <w:p>
            <w:r/>
            <w:r>
              <w:rPr>
                <w:sz w:val="19"/>
              </w:rPr>
              <w:t>Continuo</w:t>
            </w:r>
          </w:p>
        </w:tc>
        <w:tc>
          <w:tcPr>
            <w:tcW w:type="dxa" w:w="1871"/>
          </w:tcPr>
          <w:p>
            <w:r/>
            <w:r>
              <w:rPr>
                <w:sz w:val="19"/>
              </w:rPr>
              <w:t>Adelantar contratos plurianuales de licencias/cloud en dólares</w:t>
            </w:r>
          </w:p>
        </w:tc>
      </w:tr>
      <w:tr>
        <w:tc>
          <w:tcPr>
            <w:tcW w:type="dxa" w:w="567"/>
          </w:tcPr>
          <w:p>
            <w:r/>
            <w:r>
              <w:rPr>
                <w:sz w:val="19"/>
              </w:rPr>
              <w:t>T-03</w:t>
            </w:r>
          </w:p>
        </w:tc>
        <w:tc>
          <w:tcPr>
            <w:tcW w:type="dxa" w:w="1701"/>
          </w:tcPr>
          <w:p>
            <w:r/>
            <w:r>
              <w:rPr>
                <w:sz w:val="19"/>
              </w:rPr>
              <w:t>Penetración y cobertura móvil</w:t>
            </w:r>
          </w:p>
        </w:tc>
        <w:tc>
          <w:tcPr>
            <w:tcW w:type="dxa" w:w="2381"/>
          </w:tcPr>
          <w:p>
            <w:r/>
            <w:r>
              <w:rPr>
                <w:sz w:val="19"/>
              </w:rPr>
              <w:t>38.2 millones de líneas activas, 97.38% de cobertura poblada</w:t>
            </w:r>
          </w:p>
        </w:tc>
        <w:tc>
          <w:tcPr>
            <w:tcW w:type="dxa" w:w="1361"/>
          </w:tcPr>
          <w:p>
            <w:r/>
            <w:r>
              <w:rPr>
                <w:sz w:val="19"/>
              </w:rPr>
              <w:t>OSIPTEL, 2025</w:t>
            </w:r>
          </w:p>
        </w:tc>
        <w:tc>
          <w:tcPr>
            <w:tcW w:type="dxa" w:w="1020"/>
          </w:tcPr>
          <w:p>
            <w:r/>
            <w:r>
              <w:rPr>
                <w:sz w:val="19"/>
              </w:rPr>
              <w:t>Oportunidad</w:t>
            </w:r>
          </w:p>
        </w:tc>
        <w:tc>
          <w:tcPr>
            <w:tcW w:type="dxa" w:w="737"/>
          </w:tcPr>
          <w:p>
            <w:r/>
            <w:r>
              <w:rPr>
                <w:sz w:val="19"/>
              </w:rPr>
              <w:t>12 m</w:t>
            </w:r>
          </w:p>
        </w:tc>
        <w:tc>
          <w:tcPr>
            <w:tcW w:type="dxa" w:w="1871"/>
          </w:tcPr>
          <w:p>
            <w:r/>
            <w:r>
              <w:rPr>
                <w:sz w:val="19"/>
              </w:rPr>
              <w:t>Implementar notificaciones automatizadas de reposición</w:t>
            </w:r>
          </w:p>
        </w:tc>
      </w:tr>
      <w:tr>
        <w:tc>
          <w:tcPr>
            <w:tcW w:type="dxa" w:w="567"/>
          </w:tcPr>
          <w:p>
            <w:r/>
            <w:r>
              <w:rPr>
                <w:sz w:val="19"/>
              </w:rPr>
              <w:t>T-04</w:t>
            </w:r>
          </w:p>
        </w:tc>
        <w:tc>
          <w:tcPr>
            <w:tcW w:type="dxa" w:w="1701"/>
          </w:tcPr>
          <w:p>
            <w:r/>
            <w:r>
              <w:rPr>
                <w:sz w:val="19"/>
              </w:rPr>
              <w:t>Rezago regional en adopción digital</w:t>
            </w:r>
          </w:p>
        </w:tc>
        <w:tc>
          <w:tcPr>
            <w:tcW w:type="dxa" w:w="2381"/>
          </w:tcPr>
          <w:p>
            <w:r/>
            <w:r>
              <w:rPr>
                <w:sz w:val="19"/>
              </w:rPr>
              <w:t>81.96% de usuarios de Internet, por debajo de Chile/Brasil/México</w:t>
            </w:r>
          </w:p>
        </w:tc>
        <w:tc>
          <w:tcPr>
            <w:tcW w:type="dxa" w:w="1361"/>
          </w:tcPr>
          <w:p>
            <w:r/>
            <w:r>
              <w:rPr>
                <w:sz w:val="19"/>
              </w:rPr>
              <w:t>Banco Mundial, 2024</w:t>
            </w:r>
          </w:p>
        </w:tc>
        <w:tc>
          <w:tcPr>
            <w:tcW w:type="dxa" w:w="1020"/>
          </w:tcPr>
          <w:p>
            <w:r/>
            <w:r>
              <w:rPr>
                <w:sz w:val="19"/>
              </w:rPr>
              <w:t>Amenaza</w:t>
            </w:r>
          </w:p>
        </w:tc>
        <w:tc>
          <w:tcPr>
            <w:tcW w:type="dxa" w:w="737"/>
          </w:tcPr>
          <w:p>
            <w:r/>
            <w:r>
              <w:rPr>
                <w:sz w:val="19"/>
              </w:rPr>
              <w:t>Continuo</w:t>
            </w:r>
          </w:p>
        </w:tc>
        <w:tc>
          <w:tcPr>
            <w:tcW w:type="dxa" w:w="1871"/>
          </w:tcPr>
          <w:p>
            <w:r/>
            <w:r>
              <w:rPr>
                <w:sz w:val="19"/>
              </w:rPr>
              <w:t>Diseñar el módulo de IA con operación offline y sincronización diferida</w:t>
            </w:r>
          </w:p>
        </w:tc>
      </w:tr>
      <w:tr>
        <w:tc>
          <w:tcPr>
            <w:tcW w:type="dxa" w:w="567"/>
          </w:tcPr>
          <w:p>
            <w:r/>
            <w:r>
              <w:rPr>
                <w:sz w:val="19"/>
              </w:rPr>
              <w:t>T-05</w:t>
            </w:r>
          </w:p>
        </w:tc>
        <w:tc>
          <w:tcPr>
            <w:tcW w:type="dxa" w:w="1701"/>
          </w:tcPr>
          <w:p>
            <w:r/>
            <w:r>
              <w:rPr>
                <w:sz w:val="19"/>
              </w:rPr>
              <w:t>Interoperabilidad de historias clínicas electrónicas</w:t>
            </w:r>
          </w:p>
        </w:tc>
        <w:tc>
          <w:tcPr>
            <w:tcW w:type="dxa" w:w="2381"/>
          </w:tcPr>
          <w:p>
            <w:r/>
            <w:r>
              <w:rPr>
                <w:sz w:val="19"/>
              </w:rPr>
              <w:t>36 entidades validaron interoperabilidad de HCE en la Conectatón IPS Perú 2025</w:t>
            </w:r>
          </w:p>
        </w:tc>
        <w:tc>
          <w:tcPr>
            <w:tcW w:type="dxa" w:w="1361"/>
          </w:tcPr>
          <w:p>
            <w:r/>
            <w:r>
              <w:rPr>
                <w:sz w:val="19"/>
              </w:rPr>
              <w:t>MINSA/OPS-OMS/BID, 2025</w:t>
            </w:r>
          </w:p>
        </w:tc>
        <w:tc>
          <w:tcPr>
            <w:tcW w:type="dxa" w:w="1020"/>
          </w:tcPr>
          <w:p>
            <w:r/>
            <w:r>
              <w:rPr>
                <w:sz w:val="19"/>
              </w:rPr>
              <w:t>Oportunidad</w:t>
            </w:r>
          </w:p>
        </w:tc>
        <w:tc>
          <w:tcPr>
            <w:tcW w:type="dxa" w:w="737"/>
          </w:tcPr>
          <w:p>
            <w:r/>
            <w:r>
              <w:rPr>
                <w:sz w:val="19"/>
              </w:rPr>
              <w:t>24-36 m</w:t>
            </w:r>
          </w:p>
        </w:tc>
        <w:tc>
          <w:tcPr>
            <w:tcW w:type="dxa" w:w="1871"/>
          </w:tcPr>
          <w:p>
            <w:r/>
            <w:r>
              <w:rPr>
                <w:sz w:val="19"/>
              </w:rPr>
              <w:t>Diseñar la arquitectura de datos de SWIPRE-MED compatible con HL7/FHIR</w:t>
            </w:r>
          </w:p>
        </w:tc>
      </w:tr>
      <w:tr>
        <w:tc>
          <w:tcPr>
            <w:tcW w:type="dxa" w:w="567"/>
          </w:tcPr>
          <w:p>
            <w:r/>
            <w:r>
              <w:rPr>
                <w:sz w:val="19"/>
              </w:rPr>
              <w:t>T-06</w:t>
            </w:r>
          </w:p>
        </w:tc>
        <w:tc>
          <w:tcPr>
            <w:tcW w:type="dxa" w:w="1701"/>
          </w:tcPr>
          <w:p>
            <w:r/>
            <w:r>
              <w:rPr>
                <w:sz w:val="19"/>
              </w:rPr>
              <w:t>Crecimiento del PBI y de la demanda interna</w:t>
            </w:r>
          </w:p>
        </w:tc>
        <w:tc>
          <w:tcPr>
            <w:tcW w:type="dxa" w:w="2381"/>
          </w:tcPr>
          <w:p>
            <w:r/>
            <w:r>
              <w:rPr>
                <w:sz w:val="19"/>
              </w:rPr>
              <w:t>PBI +3.4% y demanda interna +5.8% en 2025</w:t>
            </w:r>
          </w:p>
        </w:tc>
        <w:tc>
          <w:tcPr>
            <w:tcW w:type="dxa" w:w="1361"/>
          </w:tcPr>
          <w:p>
            <w:r/>
            <w:r>
              <w:rPr>
                <w:sz w:val="19"/>
              </w:rPr>
              <w:t>BCRP, 2026</w:t>
            </w:r>
          </w:p>
        </w:tc>
        <w:tc>
          <w:tcPr>
            <w:tcW w:type="dxa" w:w="1020"/>
          </w:tcPr>
          <w:p>
            <w:r/>
            <w:r>
              <w:rPr>
                <w:sz w:val="19"/>
              </w:rPr>
              <w:t>Oportunidad</w:t>
            </w:r>
          </w:p>
        </w:tc>
        <w:tc>
          <w:tcPr>
            <w:tcW w:type="dxa" w:w="737"/>
          </w:tcPr>
          <w:p>
            <w:r/>
            <w:r>
              <w:rPr>
                <w:sz w:val="19"/>
              </w:rPr>
              <w:t>12 m</w:t>
            </w:r>
          </w:p>
        </w:tc>
        <w:tc>
          <w:tcPr>
            <w:tcW w:type="dxa" w:w="1871"/>
          </w:tcPr>
          <w:p>
            <w:r/>
            <w:r>
              <w:rPr>
                <w:sz w:val="19"/>
              </w:rPr>
              <w:t>Sostener el cronograma de inversión del proyecto SWIPRE-MED</w:t>
            </w:r>
          </w:p>
        </w:tc>
      </w:tr>
      <w:tr>
        <w:tc>
          <w:tcPr>
            <w:tcW w:type="dxa" w:w="567"/>
          </w:tcPr>
          <w:p>
            <w:r/>
            <w:r>
              <w:rPr>
                <w:sz w:val="19"/>
              </w:rPr>
              <w:t>T-07</w:t>
            </w:r>
          </w:p>
        </w:tc>
        <w:tc>
          <w:tcPr>
            <w:tcW w:type="dxa" w:w="1701"/>
          </w:tcPr>
          <w:p>
            <w:r/>
            <w:r>
              <w:rPr>
                <w:sz w:val="19"/>
              </w:rPr>
              <w:t>Reversión parcial del tipo de cambio</w:t>
            </w:r>
          </w:p>
        </w:tc>
        <w:tc>
          <w:tcPr>
            <w:tcW w:type="dxa" w:w="2381"/>
          </w:tcPr>
          <w:p>
            <w:r/>
            <w:r>
              <w:rPr>
                <w:sz w:val="19"/>
              </w:rPr>
              <w:t>Subida de S/ 3.367 a S/ 3.448 (+2.4%) entre dic-2025 y mar-2026</w:t>
            </w:r>
          </w:p>
        </w:tc>
        <w:tc>
          <w:tcPr>
            <w:tcW w:type="dxa" w:w="1361"/>
          </w:tcPr>
          <w:p>
            <w:r/>
            <w:r>
              <w:rPr>
                <w:sz w:val="19"/>
              </w:rPr>
              <w:t>BCRP, 2026</w:t>
            </w:r>
          </w:p>
        </w:tc>
        <w:tc>
          <w:tcPr>
            <w:tcW w:type="dxa" w:w="1020"/>
          </w:tcPr>
          <w:p>
            <w:r/>
            <w:r>
              <w:rPr>
                <w:sz w:val="19"/>
              </w:rPr>
              <w:t>Amenaza</w:t>
            </w:r>
          </w:p>
        </w:tc>
        <w:tc>
          <w:tcPr>
            <w:tcW w:type="dxa" w:w="737"/>
          </w:tcPr>
          <w:p>
            <w:r/>
            <w:r>
              <w:rPr>
                <w:sz w:val="19"/>
              </w:rPr>
              <w:t>Continuo</w:t>
            </w:r>
          </w:p>
        </w:tc>
        <w:tc>
          <w:tcPr>
            <w:tcW w:type="dxa" w:w="1871"/>
          </w:tcPr>
          <w:p>
            <w:r/>
            <w:r>
              <w:rPr>
                <w:sz w:val="19"/>
              </w:rPr>
              <w:t>Cláusula de cobertura cambiaria en contratos plurianuales cloud</w:t>
            </w:r>
          </w:p>
        </w:tc>
      </w:tr>
      <w:tr>
        <w:tc>
          <w:tcPr>
            <w:tcW w:type="dxa" w:w="567"/>
          </w:tcPr>
          <w:p>
            <w:r/>
            <w:r>
              <w:rPr>
                <w:sz w:val="19"/>
              </w:rPr>
              <w:t>T-08</w:t>
            </w:r>
          </w:p>
        </w:tc>
        <w:tc>
          <w:tcPr>
            <w:tcW w:type="dxa" w:w="1701"/>
          </w:tcPr>
          <w:p>
            <w:r/>
            <w:r>
              <w:rPr>
                <w:sz w:val="19"/>
              </w:rPr>
              <w:t>Heterogeneidad de sistemas y brechas de ciberseguridad en salud digital</w:t>
            </w:r>
          </w:p>
        </w:tc>
        <w:tc>
          <w:tcPr>
            <w:tcW w:type="dxa" w:w="2381"/>
          </w:tcPr>
          <w:p>
            <w:r/>
            <w:r>
              <w:rPr>
                <w:sz w:val="19"/>
              </w:rPr>
              <w:t>Heterogeneidad de sistemas y brechas de infraestructura identificadas en el proceso de interoperabilidad de HCE</w:t>
            </w:r>
          </w:p>
        </w:tc>
        <w:tc>
          <w:tcPr>
            <w:tcW w:type="dxa" w:w="1361"/>
          </w:tcPr>
          <w:p>
            <w:r/>
            <w:r>
              <w:rPr>
                <w:sz w:val="19"/>
              </w:rPr>
              <w:t>OPS/OMS, CEPLAN, 2025</w:t>
            </w:r>
          </w:p>
        </w:tc>
        <w:tc>
          <w:tcPr>
            <w:tcW w:type="dxa" w:w="1020"/>
          </w:tcPr>
          <w:p>
            <w:r/>
            <w:r>
              <w:rPr>
                <w:sz w:val="19"/>
              </w:rPr>
              <w:t>Amenaza</w:t>
            </w:r>
          </w:p>
        </w:tc>
        <w:tc>
          <w:tcPr>
            <w:tcW w:type="dxa" w:w="737"/>
          </w:tcPr>
          <w:p>
            <w:r/>
            <w:r>
              <w:rPr>
                <w:sz w:val="19"/>
              </w:rPr>
              <w:t>12-24 m</w:t>
            </w:r>
          </w:p>
        </w:tc>
        <w:tc>
          <w:tcPr>
            <w:tcW w:type="dxa" w:w="1871"/>
          </w:tcPr>
          <w:p>
            <w:r/>
            <w:r>
              <w:rPr>
                <w:sz w:val="19"/>
              </w:rPr>
              <w:t>Incorporar plan de seguridad de la información antes de integraciones externas</w:t>
            </w:r>
          </w:p>
        </w:tc>
      </w:tr>
    </w:tbl>
    <w:p>
      <w:pPr>
        <w:spacing w:after="80"/>
      </w:pPr>
    </w:p>
    <w:p>
      <w:r>
        <w:rPr>
          <w:b/>
        </w:rPr>
        <w:t xml:space="preserve">La columna decisiva es «Decisión que obliga». </w:t>
      </w:r>
      <w:r>
        <w:t>Es la que convierte la vigilancia en insumo del plan. Ninguna fila de la matriz quedó sin una decisión asociada.</w:t>
      </w:r>
    </w:p>
    <w:p>
      <w:pPr>
        <w:spacing w:before="80" w:after="200"/>
        <w:jc w:val="center"/>
      </w:pPr>
      <w:r>
        <w:rPr>
          <w:i/>
          <w:color w:val="595959"/>
        </w:rPr>
        <w:t>Captura de pantalla 4.</w:t>
      </w:r>
    </w:p>
    <w:p>
      <w:pPr>
        <w:pStyle w:val="Heading2"/>
      </w:pPr>
      <w:r>
        <w:t>Paso E — Redactar la Sección 1.1 del PETI (20 min)</w:t>
      </w:r>
    </w:p>
    <w:p>
      <w:pPr>
        <w:spacing w:after="160"/>
      </w:pPr>
      <w:r>
        <w:rPr>
          <w:b w:val="0"/>
          <w:i w:val="0"/>
        </w:rPr>
        <w:t>Contenido del archivo 01_marco/1.1_contexto_tendencias.md, redactado a partir de la matriz de vigilancia del Paso D:</w:t>
      </w:r>
    </w:p>
    <w:p>
      <w:pPr>
        <w:spacing w:before="200" w:after="80"/>
      </w:pPr>
      <w:r>
        <w:rPr>
          <w:b/>
          <w:sz w:val="22"/>
        </w:rPr>
        <w:t>1.1.1 Contexto general</w:t>
      </w:r>
    </w:p>
    <w:p>
      <w:pPr>
        <w:spacing w:after="160"/>
      </w:pPr>
      <w:r>
        <w:rPr>
          <w:b w:val="0"/>
          <w:i w:val="0"/>
        </w:rPr>
        <w:t>La organización opera en el sector salud, en el segmento de farmacias con atención clínica, en un entorno macroeconómico favorable en el corto plazo: el PBI del Perú creció 3.4% en 2025 y la demanda interna 5.8% (BCRP, 2026), lo que sostiene la capacidad de gasto en salud. El sol se apreció 10.06% frente al dólar entre junio de 2024 y junio de 2026 (BCRP, serie PN01207PM), lo que abarata en soles la adquisición de licencias, infraestructura cloud y equipos importados que suele requerir un proyecto de tecnología como SWIPRE-MED. En el plano tecnológico, el 58.9% de los hogares del país contaba con acceso a Internet en el primer trimestre de 2025 (INEI, ENAHO) y el 97.38% del área poblada tenía cobertura móvil al cierre de 2025 (OSIPTEL), aunque Perú aún se ubica por debajo de Chile, Brasil y México en penetración de Internet (Banco Mundial, 2024). En el sector salud específicamente, el Ministerio de Salud presentó en 2025 la Agenda Digital del Sector Salud hacia el 2030 y validó, mediante la Conectatón IPS Perú 2025, la interoperabilidad de la historia clínica electrónica con la participación de 36 entidades (OPS/OMS, 2025).</w:t>
      </w:r>
    </w:p>
    <w:p>
      <w:pPr>
        <w:spacing w:before="200" w:after="80"/>
      </w:pPr>
      <w:r>
        <w:rPr>
          <w:b/>
          <w:sz w:val="22"/>
        </w:rPr>
        <w:t>1.1.2 Tendencias que representan oportunidad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74"/>
            <w:shd w:val="clear" w:color="auto" w:fill="16285C"/>
          </w:tcPr>
          <w:p>
            <w:r/>
            <w:r>
              <w:rPr>
                <w:b/>
                <w:color w:val="FFFFFF"/>
                <w:sz w:val="19"/>
              </w:rPr>
              <w:t>Tendencia</w:t>
            </w:r>
          </w:p>
        </w:tc>
        <w:tc>
          <w:tcPr>
            <w:tcW w:type="dxa" w:w="2041"/>
            <w:shd w:val="clear" w:color="auto" w:fill="16285C"/>
          </w:tcPr>
          <w:p>
            <w:r/>
            <w:r>
              <w:rPr>
                <w:b/>
                <w:color w:val="FFFFFF"/>
                <w:sz w:val="19"/>
              </w:rPr>
              <w:t>Evidencia y fuente</w:t>
            </w:r>
          </w:p>
        </w:tc>
        <w:tc>
          <w:tcPr>
            <w:tcW w:type="dxa" w:w="1814"/>
            <w:shd w:val="clear" w:color="auto" w:fill="16285C"/>
          </w:tcPr>
          <w:p>
            <w:r/>
            <w:r>
              <w:rPr>
                <w:b/>
                <w:color w:val="FFFFFF"/>
                <w:sz w:val="19"/>
              </w:rPr>
              <w:t>Efecto en la organización</w:t>
            </w:r>
          </w:p>
        </w:tc>
        <w:tc>
          <w:tcPr>
            <w:tcW w:type="dxa" w:w="1928"/>
            <w:shd w:val="clear" w:color="auto" w:fill="16285C"/>
          </w:tcPr>
          <w:p>
            <w:r/>
            <w:r>
              <w:rPr>
                <w:b/>
                <w:color w:val="FFFFFF"/>
                <w:sz w:val="19"/>
              </w:rPr>
              <w:t>Decisión que obliga</w:t>
            </w:r>
          </w:p>
        </w:tc>
        <w:tc>
          <w:tcPr>
            <w:tcW w:type="dxa" w:w="850"/>
            <w:shd w:val="clear" w:color="auto" w:fill="16285C"/>
          </w:tcPr>
          <w:p>
            <w:r/>
            <w:r>
              <w:rPr>
                <w:b/>
                <w:color w:val="FFFFFF"/>
                <w:sz w:val="19"/>
              </w:rPr>
              <w:t>Horizonte</w:t>
            </w:r>
          </w:p>
        </w:tc>
      </w:tr>
      <w:tr>
        <w:tc>
          <w:tcPr>
            <w:tcW w:type="dxa" w:w="1474"/>
          </w:tcPr>
          <w:p>
            <w:r/>
            <w:r>
              <w:rPr>
                <w:sz w:val="19"/>
              </w:rPr>
              <w:t>Conectividad digital de los clientes</w:t>
            </w:r>
          </w:p>
        </w:tc>
        <w:tc>
          <w:tcPr>
            <w:tcW w:type="dxa" w:w="2041"/>
          </w:tcPr>
          <w:p>
            <w:r/>
            <w:r>
              <w:rPr>
                <w:sz w:val="19"/>
              </w:rPr>
              <w:t>58.9% de hogares con Internet, 1T-2025 (INEI)</w:t>
            </w:r>
          </w:p>
        </w:tc>
        <w:tc>
          <w:tcPr>
            <w:tcW w:type="dxa" w:w="1814"/>
          </w:tcPr>
          <w:p>
            <w:r/>
            <w:r>
              <w:rPr>
                <w:sz w:val="19"/>
              </w:rPr>
              <w:t>Viabiliza un canal de pedidos/reserva en línea</w:t>
            </w:r>
          </w:p>
        </w:tc>
        <w:tc>
          <w:tcPr>
            <w:tcW w:type="dxa" w:w="1928"/>
          </w:tcPr>
          <w:p>
            <w:r/>
            <w:r>
              <w:rPr>
                <w:sz w:val="19"/>
              </w:rPr>
              <w:t>Evaluar inversión en canal digital</w:t>
            </w:r>
          </w:p>
        </w:tc>
        <w:tc>
          <w:tcPr>
            <w:tcW w:type="dxa" w:w="850"/>
          </w:tcPr>
          <w:p>
            <w:r/>
            <w:r>
              <w:rPr>
                <w:sz w:val="19"/>
              </w:rPr>
              <w:t>12-24 m</w:t>
            </w:r>
          </w:p>
        </w:tc>
      </w:tr>
      <w:tr>
        <w:tc>
          <w:tcPr>
            <w:tcW w:type="dxa" w:w="1474"/>
          </w:tcPr>
          <w:p>
            <w:r/>
            <w:r>
              <w:rPr>
                <w:sz w:val="19"/>
              </w:rPr>
              <w:t>Apreciación del sol</w:t>
            </w:r>
          </w:p>
        </w:tc>
        <w:tc>
          <w:tcPr>
            <w:tcW w:type="dxa" w:w="2041"/>
          </w:tcPr>
          <w:p>
            <w:r/>
            <w:r>
              <w:rPr>
                <w:sz w:val="19"/>
              </w:rPr>
              <w:t>-10.06% en el tipo de cambio en 24 meses (BCRP)</w:t>
            </w:r>
          </w:p>
        </w:tc>
        <w:tc>
          <w:tcPr>
            <w:tcW w:type="dxa" w:w="1814"/>
          </w:tcPr>
          <w:p>
            <w:r/>
            <w:r>
              <w:rPr>
                <w:sz w:val="19"/>
              </w:rPr>
              <w:t>Abarata licencias y cloud en dólares</w:t>
            </w:r>
          </w:p>
        </w:tc>
        <w:tc>
          <w:tcPr>
            <w:tcW w:type="dxa" w:w="1928"/>
          </w:tcPr>
          <w:p>
            <w:r/>
            <w:r>
              <w:rPr>
                <w:sz w:val="19"/>
              </w:rPr>
              <w:t>Adelantar contratos plurianuales de TI</w:t>
            </w:r>
          </w:p>
        </w:tc>
        <w:tc>
          <w:tcPr>
            <w:tcW w:type="dxa" w:w="850"/>
          </w:tcPr>
          <w:p>
            <w:r/>
            <w:r>
              <w:rPr>
                <w:sz w:val="19"/>
              </w:rPr>
              <w:t>Continuo</w:t>
            </w:r>
          </w:p>
        </w:tc>
      </w:tr>
      <w:tr>
        <w:tc>
          <w:tcPr>
            <w:tcW w:type="dxa" w:w="1474"/>
          </w:tcPr>
          <w:p>
            <w:r/>
            <w:r>
              <w:rPr>
                <w:sz w:val="19"/>
              </w:rPr>
              <w:t>Penetración y cobertura móvil</w:t>
            </w:r>
          </w:p>
        </w:tc>
        <w:tc>
          <w:tcPr>
            <w:tcW w:type="dxa" w:w="2041"/>
          </w:tcPr>
          <w:p>
            <w:r/>
            <w:r>
              <w:rPr>
                <w:sz w:val="19"/>
              </w:rPr>
              <w:t>38.2 millones de líneas, 97.38% cobertura (OSIPTEL)</w:t>
            </w:r>
          </w:p>
        </w:tc>
        <w:tc>
          <w:tcPr>
            <w:tcW w:type="dxa" w:w="1814"/>
          </w:tcPr>
          <w:p>
            <w:r/>
            <w:r>
              <w:rPr>
                <w:sz w:val="19"/>
              </w:rPr>
              <w:t>Habilita telefarmacia y recordatorios móviles</w:t>
            </w:r>
          </w:p>
        </w:tc>
        <w:tc>
          <w:tcPr>
            <w:tcW w:type="dxa" w:w="1928"/>
          </w:tcPr>
          <w:p>
            <w:r/>
            <w:r>
              <w:rPr>
                <w:sz w:val="19"/>
              </w:rPr>
              <w:t>Implementar notificaciones automatizadas</w:t>
            </w:r>
          </w:p>
        </w:tc>
        <w:tc>
          <w:tcPr>
            <w:tcW w:type="dxa" w:w="850"/>
          </w:tcPr>
          <w:p>
            <w:r/>
            <w:r>
              <w:rPr>
                <w:sz w:val="19"/>
              </w:rPr>
              <w:t>12 m</w:t>
            </w:r>
          </w:p>
        </w:tc>
      </w:tr>
      <w:tr>
        <w:tc>
          <w:tcPr>
            <w:tcW w:type="dxa" w:w="1474"/>
          </w:tcPr>
          <w:p>
            <w:r/>
            <w:r>
              <w:rPr>
                <w:sz w:val="19"/>
              </w:rPr>
              <w:t>Interoperabilidad de historias clínicas</w:t>
            </w:r>
          </w:p>
        </w:tc>
        <w:tc>
          <w:tcPr>
            <w:tcW w:type="dxa" w:w="2041"/>
          </w:tcPr>
          <w:p>
            <w:r/>
            <w:r>
              <w:rPr>
                <w:sz w:val="19"/>
              </w:rPr>
              <w:t>36 entidades en la Conectatón IPS 2025 (MINSA/OPS)</w:t>
            </w:r>
          </w:p>
        </w:tc>
        <w:tc>
          <w:tcPr>
            <w:tcW w:type="dxa" w:w="1814"/>
          </w:tcPr>
          <w:p>
            <w:r/>
            <w:r>
              <w:rPr>
                <w:sz w:val="19"/>
              </w:rPr>
              <w:t>Abre integración futura con la HCE</w:t>
            </w:r>
          </w:p>
        </w:tc>
        <w:tc>
          <w:tcPr>
            <w:tcW w:type="dxa" w:w="1928"/>
          </w:tcPr>
          <w:p>
            <w:r/>
            <w:r>
              <w:rPr>
                <w:sz w:val="19"/>
              </w:rPr>
              <w:t>Arquitectura de datos compatible con HL7/FHIR</w:t>
            </w:r>
          </w:p>
        </w:tc>
        <w:tc>
          <w:tcPr>
            <w:tcW w:type="dxa" w:w="850"/>
          </w:tcPr>
          <w:p>
            <w:r/>
            <w:r>
              <w:rPr>
                <w:sz w:val="19"/>
              </w:rPr>
              <w:t>24-36 m</w:t>
            </w:r>
          </w:p>
        </w:tc>
      </w:tr>
      <w:tr>
        <w:tc>
          <w:tcPr>
            <w:tcW w:type="dxa" w:w="1474"/>
          </w:tcPr>
          <w:p>
            <w:r/>
            <w:r>
              <w:rPr>
                <w:sz w:val="19"/>
              </w:rPr>
              <w:t>Crecimiento del PBI y demanda interna</w:t>
            </w:r>
          </w:p>
        </w:tc>
        <w:tc>
          <w:tcPr>
            <w:tcW w:type="dxa" w:w="2041"/>
          </w:tcPr>
          <w:p>
            <w:r/>
            <w:r>
              <w:rPr>
                <w:sz w:val="19"/>
              </w:rPr>
              <w:t>PBI +3.4%, demanda interna +5.8% en 2025 (BCRP)</w:t>
            </w:r>
          </w:p>
        </w:tc>
        <w:tc>
          <w:tcPr>
            <w:tcW w:type="dxa" w:w="1814"/>
          </w:tcPr>
          <w:p>
            <w:r/>
            <w:r>
              <w:rPr>
                <w:sz w:val="19"/>
              </w:rPr>
              <w:t>Sostiene la inversión en tecnología</w:t>
            </w:r>
          </w:p>
        </w:tc>
        <w:tc>
          <w:tcPr>
            <w:tcW w:type="dxa" w:w="1928"/>
          </w:tcPr>
          <w:p>
            <w:r/>
            <w:r>
              <w:rPr>
                <w:sz w:val="19"/>
              </w:rPr>
              <w:t>Mantener el cronograma de inversión de SWIPRE-MED</w:t>
            </w:r>
          </w:p>
        </w:tc>
        <w:tc>
          <w:tcPr>
            <w:tcW w:type="dxa" w:w="850"/>
          </w:tcPr>
          <w:p>
            <w:r/>
            <w:r>
              <w:rPr>
                <w:sz w:val="19"/>
              </w:rPr>
              <w:t>12 m</w:t>
            </w:r>
          </w:p>
        </w:tc>
      </w:tr>
    </w:tbl>
    <w:p>
      <w:pPr>
        <w:spacing w:after="80"/>
      </w:pPr>
    </w:p>
    <w:p>
      <w:pPr>
        <w:spacing w:before="200" w:after="80"/>
      </w:pPr>
      <w:r>
        <w:rPr>
          <w:b/>
          <w:sz w:val="22"/>
        </w:rPr>
        <w:t>1.1.3 Tendencias que representan amenaza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74"/>
            <w:shd w:val="clear" w:color="auto" w:fill="16285C"/>
          </w:tcPr>
          <w:p>
            <w:r/>
            <w:r>
              <w:rPr>
                <w:b/>
                <w:color w:val="FFFFFF"/>
                <w:sz w:val="19"/>
              </w:rPr>
              <w:t>Tendencia</w:t>
            </w:r>
          </w:p>
        </w:tc>
        <w:tc>
          <w:tcPr>
            <w:tcW w:type="dxa" w:w="2041"/>
            <w:shd w:val="clear" w:color="auto" w:fill="16285C"/>
          </w:tcPr>
          <w:p>
            <w:r/>
            <w:r>
              <w:rPr>
                <w:b/>
                <w:color w:val="FFFFFF"/>
                <w:sz w:val="19"/>
              </w:rPr>
              <w:t>Evidencia y fuente</w:t>
            </w:r>
          </w:p>
        </w:tc>
        <w:tc>
          <w:tcPr>
            <w:tcW w:type="dxa" w:w="1814"/>
            <w:shd w:val="clear" w:color="auto" w:fill="16285C"/>
          </w:tcPr>
          <w:p>
            <w:r/>
            <w:r>
              <w:rPr>
                <w:b/>
                <w:color w:val="FFFFFF"/>
                <w:sz w:val="19"/>
              </w:rPr>
              <w:t>Efecto en la organización</w:t>
            </w:r>
          </w:p>
        </w:tc>
        <w:tc>
          <w:tcPr>
            <w:tcW w:type="dxa" w:w="1928"/>
            <w:shd w:val="clear" w:color="auto" w:fill="16285C"/>
          </w:tcPr>
          <w:p>
            <w:r/>
            <w:r>
              <w:rPr>
                <w:b/>
                <w:color w:val="FFFFFF"/>
                <w:sz w:val="19"/>
              </w:rPr>
              <w:t>Decisión que obliga</w:t>
            </w:r>
          </w:p>
        </w:tc>
        <w:tc>
          <w:tcPr>
            <w:tcW w:type="dxa" w:w="850"/>
            <w:shd w:val="clear" w:color="auto" w:fill="16285C"/>
          </w:tcPr>
          <w:p>
            <w:r/>
            <w:r>
              <w:rPr>
                <w:b/>
                <w:color w:val="FFFFFF"/>
                <w:sz w:val="19"/>
              </w:rPr>
              <w:t>Horizonte</w:t>
            </w:r>
          </w:p>
        </w:tc>
      </w:tr>
      <w:tr>
        <w:tc>
          <w:tcPr>
            <w:tcW w:type="dxa" w:w="1474"/>
          </w:tcPr>
          <w:p>
            <w:r/>
            <w:r>
              <w:rPr>
                <w:sz w:val="19"/>
              </w:rPr>
              <w:t>Rezago regional en adopción digital</w:t>
            </w:r>
          </w:p>
        </w:tc>
        <w:tc>
          <w:tcPr>
            <w:tcW w:type="dxa" w:w="2041"/>
          </w:tcPr>
          <w:p>
            <w:r/>
            <w:r>
              <w:rPr>
                <w:sz w:val="19"/>
              </w:rPr>
              <w:t>81.96% de usuarios de Internet vs 95.59% en Chile (Banco Mundial)</w:t>
            </w:r>
          </w:p>
        </w:tc>
        <w:tc>
          <w:tcPr>
            <w:tcW w:type="dxa" w:w="1814"/>
          </w:tcPr>
          <w:p>
            <w:r/>
            <w:r>
              <w:rPr>
                <w:sz w:val="19"/>
              </w:rPr>
              <w:t>Limita el alcance de canales digitales</w:t>
            </w:r>
          </w:p>
        </w:tc>
        <w:tc>
          <w:tcPr>
            <w:tcW w:type="dxa" w:w="1928"/>
          </w:tcPr>
          <w:p>
            <w:r/>
            <w:r>
              <w:rPr>
                <w:sz w:val="19"/>
              </w:rPr>
              <w:t>Diseñar IA con capacidad offline</w:t>
            </w:r>
          </w:p>
        </w:tc>
        <w:tc>
          <w:tcPr>
            <w:tcW w:type="dxa" w:w="850"/>
          </w:tcPr>
          <w:p>
            <w:r/>
            <w:r>
              <w:rPr>
                <w:sz w:val="19"/>
              </w:rPr>
              <w:t>Continuo</w:t>
            </w:r>
          </w:p>
        </w:tc>
      </w:tr>
      <w:tr>
        <w:tc>
          <w:tcPr>
            <w:tcW w:type="dxa" w:w="1474"/>
          </w:tcPr>
          <w:p>
            <w:r/>
            <w:r>
              <w:rPr>
                <w:sz w:val="19"/>
              </w:rPr>
              <w:t>Reversión parcial del tipo de cambio</w:t>
            </w:r>
          </w:p>
        </w:tc>
        <w:tc>
          <w:tcPr>
            <w:tcW w:type="dxa" w:w="2041"/>
          </w:tcPr>
          <w:p>
            <w:r/>
            <w:r>
              <w:rPr>
                <w:sz w:val="19"/>
              </w:rPr>
              <w:t>+2.4% entre dic-2025 y mar-2026 (BCRP)</w:t>
            </w:r>
          </w:p>
        </w:tc>
        <w:tc>
          <w:tcPr>
            <w:tcW w:type="dxa" w:w="1814"/>
          </w:tcPr>
          <w:p>
            <w:r/>
            <w:r>
              <w:rPr>
                <w:sz w:val="19"/>
              </w:rPr>
              <w:t>Encarece contratos cloud en dólares</w:t>
            </w:r>
          </w:p>
        </w:tc>
        <w:tc>
          <w:tcPr>
            <w:tcW w:type="dxa" w:w="1928"/>
          </w:tcPr>
          <w:p>
            <w:r/>
            <w:r>
              <w:rPr>
                <w:sz w:val="19"/>
              </w:rPr>
              <w:t>Cláusula de cobertura cambiaria</w:t>
            </w:r>
          </w:p>
        </w:tc>
        <w:tc>
          <w:tcPr>
            <w:tcW w:type="dxa" w:w="850"/>
          </w:tcPr>
          <w:p>
            <w:r/>
            <w:r>
              <w:rPr>
                <w:sz w:val="19"/>
              </w:rPr>
              <w:t>Continuo</w:t>
            </w:r>
          </w:p>
        </w:tc>
      </w:tr>
      <w:tr>
        <w:tc>
          <w:tcPr>
            <w:tcW w:type="dxa" w:w="1474"/>
          </w:tcPr>
          <w:p>
            <w:r/>
            <w:r>
              <w:rPr>
                <w:sz w:val="19"/>
              </w:rPr>
              <w:t>Heterogeneidad de sistemas de salud digital</w:t>
            </w:r>
          </w:p>
        </w:tc>
        <w:tc>
          <w:tcPr>
            <w:tcW w:type="dxa" w:w="2041"/>
          </w:tcPr>
          <w:p>
            <w:r/>
            <w:r>
              <w:rPr>
                <w:sz w:val="19"/>
              </w:rPr>
              <w:t>Brechas de infraestructura y ciberseguridad (OPS/OMS, CEPLAN)</w:t>
            </w:r>
          </w:p>
        </w:tc>
        <w:tc>
          <w:tcPr>
            <w:tcW w:type="dxa" w:w="1814"/>
          </w:tcPr>
          <w:p>
            <w:r/>
            <w:r>
              <w:rPr>
                <w:sz w:val="19"/>
              </w:rPr>
              <w:t>Retrasa integraciones externas y expone datos</w:t>
            </w:r>
          </w:p>
        </w:tc>
        <w:tc>
          <w:tcPr>
            <w:tcW w:type="dxa" w:w="1928"/>
          </w:tcPr>
          <w:p>
            <w:r/>
            <w:r>
              <w:rPr>
                <w:sz w:val="19"/>
              </w:rPr>
              <w:t>Plan de seguridad de la información previo a integrar</w:t>
            </w:r>
          </w:p>
        </w:tc>
        <w:tc>
          <w:tcPr>
            <w:tcW w:type="dxa" w:w="850"/>
          </w:tcPr>
          <w:p>
            <w:r/>
            <w:r>
              <w:rPr>
                <w:sz w:val="19"/>
              </w:rPr>
              <w:t>12-24 m</w:t>
            </w:r>
          </w:p>
        </w:tc>
      </w:tr>
    </w:tbl>
    <w:p>
      <w:pPr>
        <w:spacing w:after="80"/>
      </w:pPr>
    </w:p>
    <w:p>
      <w:pPr>
        <w:spacing w:before="200" w:after="80"/>
      </w:pPr>
      <w:r>
        <w:rPr>
          <w:b/>
          <w:sz w:val="22"/>
        </w:rPr>
        <w:t>1.1.4 Posición de TI en la organización</w:t>
      </w:r>
    </w:p>
    <w:p>
      <w:pPr>
        <w:spacing w:after="160"/>
      </w:pPr>
      <w:r>
        <w:rPr>
          <w:b w:val="0"/>
          <w:i w:val="0"/>
        </w:rPr>
        <w:t>Postura identificada: Fábrica, en tránsito hacia Estratégica (matriz de McFarlan). Evidencia 1: el impacto actual de TI es alto porque, sin el sistema de inventario, la organización no puede sostener el control diario de stock, lotes y vencimientos de medicamentos; esto la sitúa hoy como Fábrica (soporte operativo crítico, bajo perfil estratégico). Evidencia 2: el impacto futuro de TI también es alto, porque el módulo de inteligencia artificial de SWIPRE-MED (predicción de demanda, clasificación de criticidad, recomendaciones de compra) está concebido como diferenciador competitivo y no solo como mejora de eficiencia, lo que desplaza a la organización hacia el cuadrante Estratégico. Esta postura implica que el alcance de este PETI no puede limitarse a mantener la operación vigente: debe incluir explícitamente un portafolio de iniciativas de innovación (Sección 7) y una gobernanza de datos que sostenga el módulo de IA como palanca de negocio.</w:t>
      </w:r>
    </w:p>
    <w:p>
      <w:pPr>
        <w:spacing w:before="200" w:after="80"/>
      </w:pPr>
      <w:r>
        <w:rPr>
          <w:b/>
          <w:sz w:val="22"/>
        </w:rPr>
        <w:t>1.1.5 Procedimiento de actualización de la vigilancia</w:t>
      </w:r>
    </w:p>
    <w:p>
      <w:pPr>
        <w:spacing w:after="160"/>
      </w:pPr>
      <w:r>
        <w:rPr>
          <w:b w:val="0"/>
          <w:i w:val="0"/>
        </w:rPr>
        <w:t>Series a monitorear y frecuencia: tipo de cambio interbancario (BCRP, mensual), % de hogares con acceso a Internet (INEI/ENAHO, trimestral), líneas y cobertura móvil (OSIPTEL, trimestral), avance de la Agenda Digital del Sector Salud e interoperabilidad de la HCE (MINSA/OPS, anual). Responsable: Jefatura de TI de la organización, en coordinación con el Comité de Planeamiento Estratégico. Umbral de alerta: una variación acumulada del tipo de cambio superior a ±8% en un periodo móvil de 6 meses respecto del valor usado en el último presupuesto de TI aprobado, o un retraso mayor a 12 meses en el cronograma nacional de interoperabilidad de la historia clínica electrónica, disparan una revisión anticipada del capítulo de riesgos y del portafolio del PETI, antes del ciclo anual de revisión.</w:t>
      </w:r>
    </w:p>
    <w:p>
      <w:pPr>
        <w:spacing w:before="200" w:after="80"/>
      </w:pPr>
      <w:r>
        <w:rPr>
          <w:b/>
          <w:sz w:val="22"/>
        </w:rPr>
        <w:t>1.1.6 Fuentes consultadas</w:t>
      </w:r>
    </w:p>
    <w:p>
      <w:pPr>
        <w:pStyle w:val="ListBullet"/>
      </w:pPr>
      <w:r>
        <w:t>Instituto Nacional de Estadística e Informática (INEI). Informe técnico de tecnologías de la información y comunicación, 1T-2025.</w:t>
      </w:r>
    </w:p>
    <w:p>
      <w:pPr>
        <w:pStyle w:val="ListBullet"/>
      </w:pPr>
      <w:r>
        <w:t>Banco Central de Reserva del Perú (BCRP). Serie PN01207PM, tipo de cambio interbancario, y Nota de Estudios n.º 13-2026.</w:t>
      </w:r>
    </w:p>
    <w:p>
      <w:pPr>
        <w:pStyle w:val="ListBullet"/>
      </w:pPr>
      <w:r>
        <w:t>Organismo Supervisor de Inversión Privada en Telecomunicaciones (OSIPTEL). Líneas móviles y cobertura al cierre de 2025.</w:t>
      </w:r>
    </w:p>
    <w:p>
      <w:pPr>
        <w:pStyle w:val="ListBullet"/>
      </w:pPr>
      <w:r>
        <w:t>Banco Mundial. World Development Indicators: IT.NET.USER.ZS e IT.CEL.SETS.P2, 2023-2024.</w:t>
      </w:r>
    </w:p>
    <w:p>
      <w:pPr>
        <w:pStyle w:val="ListBullet"/>
      </w:pPr>
      <w:r>
        <w:t>Organización Panamericana de la Salud (OPS/OMS) y Ministerio de Salud del Perú. Conectatón IPS Perú 2025 y Agenda Digital del Sector Salud hacia el 2030.</w:t>
      </w:r>
    </w:p>
    <w:p>
      <w:pPr>
        <w:pStyle w:val="ListBullet"/>
      </w:pPr>
      <w:r>
        <w:t>Centro Nacional de Planeamiento Estratégico (CEPLAN). Observatorio: Aceleración de la salud digital, ficha O55-2025.</w:t>
      </w:r>
    </w:p>
    <w:p>
      <w:pPr>
        <w:spacing w:before="80" w:after="200"/>
        <w:jc w:val="center"/>
      </w:pPr>
      <w:r>
        <w:rPr>
          <w:i/>
          <w:color w:val="595959"/>
        </w:rPr>
        <w:t>Captura de pantalla 5.</w:t>
      </w:r>
    </w:p>
    <w:p>
      <w:pPr>
        <w:pStyle w:val="Heading1"/>
      </w:pPr>
      <w:r>
        <w:t>3. Resultados</w:t>
      </w:r>
    </w:p>
    <w:p>
      <w:pPr>
        <w:spacing w:after="160"/>
      </w:pPr>
      <w:r>
        <w:rPr>
          <w:b w:val="0"/>
          <w:i w:val="0"/>
        </w:rPr>
        <w:t>Al término de la práctica el estudiante debe evidenciar:</w:t>
      </w:r>
    </w:p>
    <w:tbl>
      <w:tblPr>
        <w:tblStyle w:val="TableGrid"/>
        <w:tblW w:type="auto" w:w="0"/>
        <w:jc w:val="center"/>
        <w:tblLook w:firstColumn="1" w:firstRow="1" w:lastColumn="0" w:lastRow="0" w:noHBand="0" w:noVBand="1" w:val="04A0"/>
      </w:tblPr>
      <w:tblGrid>
        <w:gridCol w:w="3024"/>
        <w:gridCol w:w="3024"/>
        <w:gridCol w:w="3024"/>
      </w:tblGrid>
      <w:tr>
        <w:tc>
          <w:tcPr>
            <w:tcW w:type="dxa" w:w="567"/>
            <w:shd w:val="clear" w:color="auto" w:fill="16285C"/>
          </w:tcPr>
          <w:p>
            <w:r/>
            <w:r>
              <w:rPr>
                <w:b/>
                <w:color w:val="FFFFFF"/>
                <w:sz w:val="19"/>
              </w:rPr>
              <w:t>#</w:t>
            </w:r>
          </w:p>
        </w:tc>
        <w:tc>
          <w:tcPr>
            <w:tcW w:type="dxa" w:w="5386"/>
            <w:shd w:val="clear" w:color="auto" w:fill="16285C"/>
          </w:tcPr>
          <w:p>
            <w:r/>
            <w:r>
              <w:rPr>
                <w:b/>
                <w:color w:val="FFFFFF"/>
                <w:sz w:val="19"/>
              </w:rPr>
              <w:t>Resultado esperado</w:t>
            </w:r>
          </w:p>
        </w:tc>
        <w:tc>
          <w:tcPr>
            <w:tcW w:type="dxa" w:w="2551"/>
            <w:shd w:val="clear" w:color="auto" w:fill="16285C"/>
          </w:tcPr>
          <w:p>
            <w:r/>
            <w:r>
              <w:rPr>
                <w:b/>
                <w:color w:val="FFFFFF"/>
                <w:sz w:val="19"/>
              </w:rPr>
              <w:t>Verificación</w:t>
            </w:r>
          </w:p>
        </w:tc>
      </w:tr>
      <w:tr>
        <w:tc>
          <w:tcPr>
            <w:tcW w:type="dxa" w:w="567"/>
          </w:tcPr>
          <w:p>
            <w:r/>
            <w:r>
              <w:rPr>
                <w:sz w:val="19"/>
              </w:rPr>
              <w:t>1</w:t>
            </w:r>
          </w:p>
        </w:tc>
        <w:tc>
          <w:tcPr>
            <w:tcW w:type="dxa" w:w="5386"/>
          </w:tcPr>
          <w:p>
            <w:r/>
            <w:r>
              <w:rPr>
                <w:sz w:val="19"/>
              </w:rPr>
              <w:t>Matriz de fuentes con al menos 7 fuerzas y su fuente oficial identificada</w:t>
            </w:r>
          </w:p>
        </w:tc>
        <w:tc>
          <w:tcPr>
            <w:tcW w:type="dxa" w:w="2551"/>
          </w:tcPr>
          <w:p>
            <w:r/>
            <w:r>
              <w:rPr>
                <w:sz w:val="19"/>
              </w:rPr>
              <w:t>VS01_fuentes.csv</w:t>
            </w:r>
          </w:p>
        </w:tc>
      </w:tr>
      <w:tr>
        <w:tc>
          <w:tcPr>
            <w:tcW w:type="dxa" w:w="567"/>
          </w:tcPr>
          <w:p>
            <w:r/>
            <w:r>
              <w:rPr>
                <w:sz w:val="19"/>
              </w:rPr>
              <w:t>2</w:t>
            </w:r>
          </w:p>
        </w:tc>
        <w:tc>
          <w:tcPr>
            <w:tcW w:type="dxa" w:w="5386"/>
          </w:tcPr>
          <w:p>
            <w:r/>
            <w:r>
              <w:rPr>
                <w:sz w:val="19"/>
              </w:rPr>
              <w:t>Series del BCRP descargadas, con URL de origen, fecha de descarga y hash</w:t>
            </w:r>
          </w:p>
        </w:tc>
        <w:tc>
          <w:tcPr>
            <w:tcW w:type="dxa" w:w="2551"/>
          </w:tcPr>
          <w:p>
            <w:r/>
            <w:r>
              <w:rPr>
                <w:sz w:val="19"/>
              </w:rPr>
              <w:t>VS_series_bcrp.csv</w:t>
            </w:r>
          </w:p>
        </w:tc>
      </w:tr>
      <w:tr>
        <w:tc>
          <w:tcPr>
            <w:tcW w:type="dxa" w:w="567"/>
          </w:tcPr>
          <w:p>
            <w:r/>
            <w:r>
              <w:rPr>
                <w:sz w:val="19"/>
              </w:rPr>
              <w:t>3</w:t>
            </w:r>
          </w:p>
        </w:tc>
        <w:tc>
          <w:tcPr>
            <w:tcW w:type="dxa" w:w="5386"/>
          </w:tcPr>
          <w:p>
            <w:r/>
            <w:r>
              <w:rPr>
                <w:sz w:val="19"/>
              </w:rPr>
              <w:t>Indicadores del Banco Mundial con comparación regional</w:t>
            </w:r>
          </w:p>
        </w:tc>
        <w:tc>
          <w:tcPr>
            <w:tcW w:type="dxa" w:w="2551"/>
          </w:tcPr>
          <w:p>
            <w:r/>
            <w:r>
              <w:rPr>
                <w:sz w:val="19"/>
              </w:rPr>
              <w:t>VS_series_banco_mundial.csv</w:t>
            </w:r>
          </w:p>
        </w:tc>
      </w:tr>
      <w:tr>
        <w:tc>
          <w:tcPr>
            <w:tcW w:type="dxa" w:w="567"/>
          </w:tcPr>
          <w:p>
            <w:r/>
            <w:r>
              <w:rPr>
                <w:sz w:val="19"/>
              </w:rPr>
              <w:t>4</w:t>
            </w:r>
          </w:p>
        </w:tc>
        <w:tc>
          <w:tcPr>
            <w:tcW w:type="dxa" w:w="5386"/>
          </w:tcPr>
          <w:p>
            <w:r/>
            <w:r>
              <w:rPr>
                <w:sz w:val="19"/>
              </w:rPr>
              <w:t>Al menos una serie de INEI, OSIPTEL o Datos Abiertos pertinente al sector</w:t>
            </w:r>
          </w:p>
        </w:tc>
        <w:tc>
          <w:tcPr>
            <w:tcW w:type="dxa" w:w="2551"/>
          </w:tcPr>
          <w:p>
            <w:r/>
            <w:r>
              <w:rPr>
                <w:sz w:val="19"/>
              </w:rPr>
              <w:t>evidencias/</w:t>
            </w:r>
          </w:p>
        </w:tc>
      </w:tr>
      <w:tr>
        <w:tc>
          <w:tcPr>
            <w:tcW w:type="dxa" w:w="567"/>
          </w:tcPr>
          <w:p>
            <w:r/>
            <w:r>
              <w:rPr>
                <w:sz w:val="19"/>
              </w:rPr>
              <w:t>5</w:t>
            </w:r>
          </w:p>
        </w:tc>
        <w:tc>
          <w:tcPr>
            <w:tcW w:type="dxa" w:w="5386"/>
          </w:tcPr>
          <w:p>
            <w:r/>
            <w:r>
              <w:rPr>
                <w:sz w:val="19"/>
              </w:rPr>
              <w:t>Gráfico de contexto generado con serie nacional y comparación regional</w:t>
            </w:r>
          </w:p>
        </w:tc>
        <w:tc>
          <w:tcPr>
            <w:tcW w:type="dxa" w:w="2551"/>
          </w:tcPr>
          <w:p>
            <w:r/>
            <w:r>
              <w:rPr>
                <w:sz w:val="19"/>
              </w:rPr>
              <w:t>VS_contexto.png</w:t>
            </w:r>
          </w:p>
        </w:tc>
      </w:tr>
      <w:tr>
        <w:tc>
          <w:tcPr>
            <w:tcW w:type="dxa" w:w="567"/>
          </w:tcPr>
          <w:p>
            <w:r/>
            <w:r>
              <w:rPr>
                <w:sz w:val="19"/>
              </w:rPr>
              <w:t>6</w:t>
            </w:r>
          </w:p>
        </w:tc>
        <w:tc>
          <w:tcPr>
            <w:tcW w:type="dxa" w:w="5386"/>
          </w:tcPr>
          <w:p>
            <w:r/>
            <w:r>
              <w:rPr>
                <w:sz w:val="19"/>
              </w:rPr>
              <w:t>Matriz de vigilancia con decisión que obliga en cada fila</w:t>
            </w:r>
          </w:p>
        </w:tc>
        <w:tc>
          <w:tcPr>
            <w:tcW w:type="dxa" w:w="2551"/>
          </w:tcPr>
          <w:p>
            <w:r/>
            <w:r>
              <w:rPr>
                <w:sz w:val="19"/>
              </w:rPr>
              <w:t>VS05_matriz_vigilancia.csv</w:t>
            </w:r>
          </w:p>
        </w:tc>
      </w:tr>
      <w:tr>
        <w:tc>
          <w:tcPr>
            <w:tcW w:type="dxa" w:w="567"/>
          </w:tcPr>
          <w:p>
            <w:r/>
            <w:r>
              <w:rPr>
                <w:sz w:val="19"/>
              </w:rPr>
              <w:t>7</w:t>
            </w:r>
          </w:p>
        </w:tc>
        <w:tc>
          <w:tcPr>
            <w:tcW w:type="dxa" w:w="5386"/>
          </w:tcPr>
          <w:p>
            <w:r/>
            <w:r>
              <w:rPr>
                <w:sz w:val="19"/>
              </w:rPr>
              <w:t>Cero filas sin decisión asociada en la matriz</w:t>
            </w:r>
          </w:p>
        </w:tc>
        <w:tc>
          <w:tcPr>
            <w:tcW w:type="dxa" w:w="2551"/>
          </w:tcPr>
          <w:p>
            <w:r/>
            <w:r>
              <w:rPr>
                <w:sz w:val="19"/>
              </w:rPr>
              <w:t>Revisión de la matriz</w:t>
            </w:r>
          </w:p>
        </w:tc>
      </w:tr>
      <w:tr>
        <w:tc>
          <w:tcPr>
            <w:tcW w:type="dxa" w:w="567"/>
          </w:tcPr>
          <w:p>
            <w:r/>
            <w:r>
              <w:rPr>
                <w:sz w:val="19"/>
              </w:rPr>
              <w:t>8</w:t>
            </w:r>
          </w:p>
        </w:tc>
        <w:tc>
          <w:tcPr>
            <w:tcW w:type="dxa" w:w="5386"/>
          </w:tcPr>
          <w:p>
            <w:r/>
            <w:r>
              <w:rPr>
                <w:sz w:val="19"/>
              </w:rPr>
              <w:t>Al menos tres oportunidades y tres amenazas documentadas con cifra y fuente</w:t>
            </w:r>
          </w:p>
        </w:tc>
        <w:tc>
          <w:tcPr>
            <w:tcW w:type="dxa" w:w="2551"/>
          </w:tcPr>
          <w:p>
            <w:r/>
            <w:r>
              <w:rPr>
                <w:sz w:val="19"/>
              </w:rPr>
              <w:t>Sección 1.1</w:t>
            </w:r>
          </w:p>
        </w:tc>
      </w:tr>
      <w:tr>
        <w:tc>
          <w:tcPr>
            <w:tcW w:type="dxa" w:w="567"/>
          </w:tcPr>
          <w:p>
            <w:r/>
            <w:r>
              <w:rPr>
                <w:sz w:val="19"/>
              </w:rPr>
              <w:t>9</w:t>
            </w:r>
          </w:p>
        </w:tc>
        <w:tc>
          <w:tcPr>
            <w:tcW w:type="dxa" w:w="5386"/>
          </w:tcPr>
          <w:p>
            <w:r/>
            <w:r>
              <w:rPr>
                <w:sz w:val="19"/>
              </w:rPr>
              <w:t>Postura de TI identificada y justificada</w:t>
            </w:r>
          </w:p>
        </w:tc>
        <w:tc>
          <w:tcPr>
            <w:tcW w:type="dxa" w:w="2551"/>
          </w:tcPr>
          <w:p>
            <w:r/>
            <w:r>
              <w:rPr>
                <w:sz w:val="19"/>
              </w:rPr>
              <w:t>Sección 1.1.4</w:t>
            </w:r>
          </w:p>
        </w:tc>
      </w:tr>
      <w:tr>
        <w:tc>
          <w:tcPr>
            <w:tcW w:type="dxa" w:w="567"/>
          </w:tcPr>
          <w:p>
            <w:r/>
            <w:r>
              <w:rPr>
                <w:sz w:val="19"/>
              </w:rPr>
              <w:t>10</w:t>
            </w:r>
          </w:p>
        </w:tc>
        <w:tc>
          <w:tcPr>
            <w:tcW w:type="dxa" w:w="5386"/>
          </w:tcPr>
          <w:p>
            <w:r/>
            <w:r>
              <w:rPr>
                <w:sz w:val="19"/>
              </w:rPr>
              <w:t>Procedimiento de actualización de la vigilancia con responsable y umbral de alerta</w:t>
            </w:r>
          </w:p>
        </w:tc>
        <w:tc>
          <w:tcPr>
            <w:tcW w:type="dxa" w:w="2551"/>
          </w:tcPr>
          <w:p>
            <w:r/>
            <w:r>
              <w:rPr>
                <w:sz w:val="19"/>
              </w:rPr>
              <w:t>Sección 1.1.5</w:t>
            </w:r>
          </w:p>
        </w:tc>
      </w:tr>
      <w:tr>
        <w:tc>
          <w:tcPr>
            <w:tcW w:type="dxa" w:w="567"/>
          </w:tcPr>
          <w:p>
            <w:r/>
            <w:r>
              <w:rPr>
                <w:sz w:val="19"/>
              </w:rPr>
              <w:t>11</w:t>
            </w:r>
          </w:p>
        </w:tc>
        <w:tc>
          <w:tcPr>
            <w:tcW w:type="dxa" w:w="5386"/>
          </w:tcPr>
          <w:p>
            <w:r/>
            <w:r>
              <w:rPr>
                <w:sz w:val="19"/>
              </w:rPr>
              <w:t>Sección 1.1 redactada, con todas las fuentes listadas</w:t>
            </w:r>
          </w:p>
        </w:tc>
        <w:tc>
          <w:tcPr>
            <w:tcW w:type="dxa" w:w="2551"/>
          </w:tcPr>
          <w:p>
            <w:r/>
            <w:r>
              <w:rPr>
                <w:sz w:val="19"/>
              </w:rPr>
              <w:t>1.1_contexto_tendencias.md</w:t>
            </w:r>
          </w:p>
        </w:tc>
      </w:tr>
      <w:tr>
        <w:tc>
          <w:tcPr>
            <w:tcW w:type="dxa" w:w="567"/>
          </w:tcPr>
          <w:p>
            <w:r/>
            <w:r>
              <w:rPr>
                <w:sz w:val="19"/>
              </w:rPr>
              <w:t>12</w:t>
            </w:r>
          </w:p>
        </w:tc>
        <w:tc>
          <w:tcPr>
            <w:tcW w:type="dxa" w:w="5386"/>
          </w:tcPr>
          <w:p>
            <w:r/>
            <w:r>
              <w:rPr>
                <w:sz w:val="19"/>
              </w:rPr>
              <w:t>Etiqueta v0.2 en Git y hashes registrados</w:t>
            </w:r>
          </w:p>
        </w:tc>
        <w:tc>
          <w:tcPr>
            <w:tcW w:type="dxa" w:w="2551"/>
          </w:tcPr>
          <w:p>
            <w:r/>
            <w:r>
              <w:rPr>
                <w:sz w:val="19"/>
              </w:rPr>
              <w:t>git tag, HASHES.txt</w:t>
            </w:r>
          </w:p>
        </w:tc>
      </w:tr>
    </w:tbl>
    <w:p>
      <w:pPr>
        <w:spacing w:after="80"/>
      </w:pPr>
    </w:p>
    <w:p>
      <w:pPr>
        <w:spacing w:before="80" w:after="200"/>
        <w:jc w:val="center"/>
      </w:pPr>
      <w:r>
        <w:rPr>
          <w:i/>
          <w:color w:val="595959"/>
        </w:rPr>
        <w:t>Captura de pantalla 6.</w:t>
      </w:r>
    </w:p>
    <w:p>
      <w:pPr>
        <w:pStyle w:val="Heading1"/>
      </w:pPr>
      <w:r>
        <w:t>4. Conclusiones</w:t>
      </w:r>
    </w:p>
    <w:p>
      <w:pPr>
        <w:spacing w:after="160"/>
      </w:pPr>
      <w:r>
        <w:rPr>
          <w:b w:val="0"/>
          <w:i w:val="0"/>
        </w:rPr>
        <w:t>Una tendencia solo pertenece a un plan estratégico si puede evidenciarse con una serie oficial actualizable y si obliga a una decisión concreta; en este laboratorio, el movimiento del tipo de cambio solo se volvió útil para la planificación cuando se vinculó a la decisión de adelantar contratos de licencias y servicios cloud denominados en dólares, y no como un dato macroeconómico aislado.</w:t>
      </w:r>
    </w:p>
    <w:p>
      <w:pPr>
        <w:spacing w:after="160"/>
      </w:pPr>
      <w:r>
        <w:rPr>
          <w:b w:val="0"/>
          <w:i w:val="0"/>
        </w:rPr>
        <w:t>La comparación regional sitúa la posición real de la organización y de su mercado: el 81.96% de usuarios de Internet en el Perú lo ubica por debajo de Chile, Brasil y México, y el 124.62% de líneas móviles por cada 100 habitantes lo ubica por debajo de Colombia y Chile; esto evita el error de asumir que la adopción digital observada en mercados más maduros se replicará con la misma intensidad en el despliegue local de canales digitales.</w:t>
      </w:r>
    </w:p>
    <w:p>
      <w:pPr>
        <w:spacing w:after="160"/>
      </w:pPr>
      <w:r>
        <w:rPr>
          <w:b w:val="0"/>
          <w:i w:val="0"/>
        </w:rPr>
        <w:t>Identificar la postura de TI —Fábrica en tránsito hacia Estratégica— antes de formular objetivos evitó proponer un módulo de inteligencia artificial desconectado de la operación: ancló el plan en fortalecer primero la base operativa (control de lotes y vencimientos) como el sustento que hará viable, después, el diferenciador competitivo basado en IA.</w:t>
      </w:r>
    </w:p>
    <w:p>
      <w:pPr>
        <w:spacing w:after="160"/>
      </w:pPr>
      <w:r>
        <w:rPr>
          <w:b w:val="0"/>
          <w:i w:val="0"/>
        </w:rPr>
        <w:t>La tendencia sectorial más específica para esta organización no fue la conectividad genérica, sino la agenda de interoperabilidad de la historia clínica electrónica: la Conectatón IPS Perú 2025 mostró que la mayor oportunidad externa a mediano plazo es la integración futura con la HCE, lo que obliga a diseñar la arquitectura de datos de SWIPRE-MED bajo estándares de interoperabilidad desde esta etapa temprana, en lugar de dejarlo como una adaptación posterior.</w:t>
      </w:r>
    </w:p>
    <w:p>
      <w:pPr>
        <w:pStyle w:val="Heading1"/>
      </w:pPr>
      <w:r>
        <w:t>5. Cuestionario</w:t>
      </w:r>
    </w:p>
    <w:p>
      <w:r>
        <w:rPr>
          <w:b/>
        </w:rPr>
        <w:t>1. Diferencia estrategia de dirección estratégica e indica en qué momento del proceso se ubica la formulación de un PETI.</w:t>
      </w:r>
    </w:p>
    <w:p>
      <w:pPr>
        <w:spacing w:after="160"/>
      </w:pPr>
      <w:r>
        <w:rPr>
          <w:b w:val="0"/>
          <w:i w:val="0"/>
        </w:rPr>
        <w:t>La estrategia es el contenido: el conjunto de decisiones y compromisos —qué hacer y qué no hacer— que determinan cómo la organización logrará una posición competitiva sostenible. La dirección estratégica es el proceso gerencial continuo que formula, implementa y evalúa esa estrategia (análisis del entorno, definición de misión y visión, formulación de objetivos, ejecución y control). La formulación de un PETI se ubica en la fase de formulación dentro del proceso de dirección estratégica: es el momento en que el análisis de contexto elaborado en este laboratorio (Sección 1.1) se traduce en objetivos y en un portafolio de iniciativas de TI alineados a la estrategia corporativa, antes de su implementación y control en las siguientes unidades del curso.</w:t>
      </w:r>
    </w:p>
    <w:p>
      <w:r>
        <w:rPr>
          <w:b/>
        </w:rPr>
        <w:t>2. ¿Por qué una estrategia que no renuncia a nada no es una estrategia? Ilustra con una decisión concreta de tu organización.</w:t>
      </w:r>
    </w:p>
    <w:p>
      <w:pPr>
        <w:spacing w:after="160"/>
      </w:pPr>
      <w:r>
        <w:rPr>
          <w:b w:val="0"/>
          <w:i w:val="0"/>
        </w:rPr>
        <w:t>Porter sostiene que la esencia de la estrategia es elegir qué no hacer: una organización que pretende atender todos los segmentos y todos los canales sin sacrificar ningún recurso no está posicionándose, solo persigue eficiencia operativa, que cualquier competidor puede imitar. Decisión concreta: al construir SWIPRE-MED, la organización priorizó el módulo de control de lotes/vencimientos y de predicción de demanda por IA sobre un módulo de venta en línea directa al público; renunció, por ahora, a atender comercio electrónico B2C para concentrar los recursos de TI en el control interno del inventario, que es donde identificó su mayor pérdida operativa (vencimientos y quiebres de stock). Esa renuncia explícita es lo que convierte la iniciativa en una estrategia y no en una lista de deseos tecnológicos.</w:t>
      </w:r>
    </w:p>
    <w:p>
      <w:r>
        <w:rPr>
          <w:b/>
        </w:rPr>
        <w:t>3. Identifica la postura de TI de tu organización entre las cuatro presentadas, con dos evidencias que la sustenten, y explica qué implica para el alcance de tu plan.</w:t>
      </w:r>
    </w:p>
    <w:p>
      <w:pPr>
        <w:spacing w:after="160"/>
      </w:pPr>
      <w:r>
        <w:rPr>
          <w:b w:val="0"/>
          <w:i w:val="0"/>
        </w:rPr>
        <w:t>Postura: Fábrica en tránsito hacia Estratégica. Evidencia 1: el impacto actual de TI es alto porque el control diario de stock, lotes y vencimientos depende por completo del sistema de inventario (postura de Fábrica). Evidencia 2: el impacto futuro de TI también es alto porque el módulo de IA predictiva está concebido como diferenciador competitivo, no solo como mejora de eficiencia (postura Estratégica). Esto implica que el alcance del PETI debe incluir, además de la continuidad operativa, un portafolio explícito de iniciativas de innovación y una gobernanza de datos que sostenga el módulo de IA como palanca de negocio.</w:t>
      </w:r>
    </w:p>
    <w:p>
      <w:r>
        <w:rPr>
          <w:b/>
        </w:rPr>
        <w:t>4. La serie del BCRP muestra una depreciación del __ % en 24 meses. ¿Qué decisión de planeamiento obliga si el 60% del presupuesto de TI está denominado en dólares?</w:t>
      </w:r>
    </w:p>
    <w:p>
      <w:pPr>
        <w:spacing w:after="160"/>
      </w:pPr>
      <w:r>
        <w:rPr>
          <w:b w:val="0"/>
          <w:i w:val="0"/>
        </w:rPr>
        <w:t>Los datos reales extraídos en el Paso B muestran, en realidad, una apreciación del sol —no una depreciación— de 10.06% entre junio de 2024 (S/ 3.787) y junio de 2026 (S/ 3.406). Si el 60% del presupuesto de TI está denominado en dólares (licencias cloud, APIs de IA, equipos), esta apreciación es una oportunidad: reduce en soles el costo de esos contratos, y la decisión que obliga es adelantar y ampliar las compras de licencias e infraestructura cloud multianual mientras el tipo de cambio es favorable, fijando los montos en contratos de largo plazo. Como la misma serie muestra una reversión parcial (de S/ 3.367 a S/ 3.448 entre diciembre de 2025 y marzo de 2026), el plan debe incluir, en simultáneo, una cláusula de cobertura cambiaria para el escenario contrario, de modo que una futura depreciación del sol no comprometa la ejecución del portafolio de TI.</w:t>
      </w:r>
    </w:p>
    <w:p>
      <w:r>
        <w:rPr>
          <w:b/>
        </w:rPr>
        <w:t>5. Explica por qué debe registrarse la URL, la fecha de descarga y el hash de cada serie utilizada.</w:t>
      </w:r>
    </w:p>
    <w:p>
      <w:pPr>
        <w:spacing w:after="160"/>
      </w:pPr>
      <w:r>
        <w:rPr>
          <w:b w:val="0"/>
          <w:i w:val="0"/>
        </w:rPr>
        <w:t>Sin esos tres datos, una afirmación del PETI no puede verificarse ni actualizarse un año después. La URL permite que un tercero —un acreditador, un auditor, un nuevo integrante del equipo— retrace el valor hasta su fuente primaria en vez de confiar en una cita secundaria. La fecha de descarga sitúa el dato en el tiempo, porque las series oficiales se revisan y sus valores pueden cambiar en publicaciones posteriores. El hash demuestra que el archivo descargado no fue alterado después de la captura, lo que convierte el dato en evidencia defendible y no en una cifra de la que solo queda la palabra del autor.</w:t>
      </w:r>
    </w:p>
    <w:p>
      <w:r>
        <w:rPr>
          <w:b/>
        </w:rPr>
        <w:t>6. Una tendencia relevante no tiene serie estadística disponible. ¿La incluye en el plan? Fundamenta y propón cómo se monitorearía.</w:t>
      </w:r>
    </w:p>
    <w:p>
      <w:pPr>
        <w:spacing w:after="160"/>
      </w:pPr>
      <w:r>
        <w:rPr>
          <w:b w:val="0"/>
          <w:i w:val="0"/>
        </w:rPr>
        <w:t>Sí puede incluirse, pero no en la matriz de vigilancia cuantitativa, que exige evidencia con cifra y fuente oficial. Se traslada a un registro cualitativo de «señales débiles», con la fuente cualitativa disponible (informes gremiales, entrevistas a expertos, notas especializadas), y se le asigna un monitoreo distinto: seguimiento documental periódico —por ejemplo, trimestral— hasta que aparezca un indicador oficial que la cuantifique, momento en el que se promueve a la matriz formal. Ignorarla solo por falta de estadística oficial sería tan riesgoso como aceptar una cifra sin verificar su fuente primaria.</w:t>
      </w:r>
    </w:p>
    <w:p>
      <w:r>
        <w:rPr>
          <w:b/>
        </w:rPr>
        <w:t>7. Redacta el umbral de alerta de una de sus series. ¿Qué valor obligaría a revisar el PETI antes de su ciclo anual?</w:t>
      </w:r>
    </w:p>
    <w:p>
      <w:pPr>
        <w:spacing w:after="160"/>
      </w:pPr>
      <w:r>
        <w:rPr>
          <w:b w:val="0"/>
          <w:i w:val="0"/>
        </w:rPr>
        <w:t>Serie elegida: tipo de cambio interbancario (BCRP, PN01207PM), monitoreada mensualmente por la Jefatura de TI. Umbral de alerta: una variación acumulada superior a ±8% en un periodo móvil de 6 meses respecto del valor usado en el último presupuesto de TI aprobado. Si el tipo de cambio se deprecia (sube) más de 8% en 6 meses, se dispara una revisión anticipada del capítulo de riesgos y del cronograma de adquisiciones en dólares del PETI, sin esperar al ciclo anual de revisión.</w:t>
      </w:r>
    </w:p>
    <w:p>
      <w:pPr>
        <w:pStyle w:val="Heading1"/>
      </w:pPr>
      <w:r>
        <w:t>6. Referencias Bibliográficas</w:t>
      </w:r>
    </w:p>
    <w:p>
      <w:pPr>
        <w:spacing w:after="160" w:line="240" w:lineRule="auto"/>
        <w:ind w:left="720" w:hanging="720"/>
      </w:pPr>
      <w:r>
        <w:rPr>
          <w:sz w:val="21"/>
        </w:rPr>
        <w:t>Banco Central de Reserva del Perú. (2026). Nota de Estudios del BCRP n.º 13-2026. https://www.bcrp.gob.pe/docs/Publicaciones/Notas-Estudios/2026/nota-de-estudios-13-2026.pdf</w:t>
      </w:r>
    </w:p>
    <w:p>
      <w:pPr>
        <w:spacing w:after="160" w:line="240" w:lineRule="auto"/>
        <w:ind w:left="720" w:hanging="720"/>
      </w:pPr>
      <w:r>
        <w:rPr>
          <w:sz w:val="21"/>
        </w:rPr>
        <w:t>Banco Central de Reserva del Perú. (2026). Serie mensual del tipo de cambio interbancario, PN01207PM [Conjunto de datos]. Estadísticas BCRP. https://estadisticas.bcrp.gob.pe/estadisticas/series/api</w:t>
      </w:r>
    </w:p>
    <w:p>
      <w:pPr>
        <w:spacing w:after="160" w:line="240" w:lineRule="auto"/>
        <w:ind w:left="720" w:hanging="720"/>
      </w:pPr>
      <w:r>
        <w:rPr>
          <w:sz w:val="21"/>
        </w:rPr>
        <w:t>Banco Mundial. (2025). World Development Indicators [Conjunto de datos]. https://data.worldbank.org</w:t>
      </w:r>
    </w:p>
    <w:p>
      <w:pPr>
        <w:spacing w:after="160" w:line="240" w:lineRule="auto"/>
        <w:ind w:left="720" w:hanging="720"/>
      </w:pPr>
      <w:r>
        <w:rPr>
          <w:sz w:val="21"/>
        </w:rPr>
        <w:t>Centro Nacional de Planeamiento Estratégico. (2025). Aceleración de la salud digital [Ficha del observatorio, O55-2025]. https://observatorio.ceplan.gob.pe/ficha/o55_2025</w:t>
      </w:r>
    </w:p>
    <w:p>
      <w:pPr>
        <w:spacing w:after="160" w:line="240" w:lineRule="auto"/>
        <w:ind w:left="720" w:hanging="720"/>
      </w:pPr>
      <w:r>
        <w:rPr>
          <w:sz w:val="21"/>
        </w:rPr>
        <w:t>Decreto Supremo 085-2023-PCM. Política Nacional de Transformación Digital al 2030. https://busquedas.elperuano.pe/dispositivo/NL/2200457-5</w:t>
      </w:r>
    </w:p>
    <w:p>
      <w:pPr>
        <w:spacing w:after="160" w:line="240" w:lineRule="auto"/>
        <w:ind w:left="720" w:hanging="720"/>
      </w:pPr>
      <w:r>
        <w:rPr>
          <w:sz w:val="21"/>
        </w:rPr>
        <w:t>González Millán, J. (2020). Manual práctico de planeación estratégica. Ediciones Díaz de Santos. https://elibro.net/es/lc/bibliotecaupt/titulos/129291</w:t>
      </w:r>
    </w:p>
    <w:p>
      <w:pPr>
        <w:spacing w:after="160" w:line="240" w:lineRule="auto"/>
        <w:ind w:left="720" w:hanging="720"/>
      </w:pPr>
      <w:r>
        <w:rPr>
          <w:sz w:val="21"/>
        </w:rPr>
        <w:t>Instituto Nacional de Estadística e Informática. (2025). Estadísticas de las tecnologías de información y comunicación en los hogares: Informe técnico, enero-febrero-marzo 2025. https://www.inei.gob.pe/media/MenuRecursivo/boletines/informe-tecnico_tecnologiasdelainformacion_ene_feb_mar2025.pdf</w:t>
      </w:r>
    </w:p>
    <w:p>
      <w:pPr>
        <w:spacing w:after="160" w:line="240" w:lineRule="auto"/>
        <w:ind w:left="720" w:hanging="720"/>
      </w:pPr>
      <w:r>
        <w:rPr>
          <w:sz w:val="21"/>
        </w:rPr>
        <w:t>ISO/IEC 42001:2023. Artificial intelligence — Management system. https://www.iso.org/standard/81230.html</w:t>
      </w:r>
    </w:p>
    <w:p>
      <w:pPr>
        <w:spacing w:after="160" w:line="240" w:lineRule="auto"/>
        <w:ind w:left="720" w:hanging="720"/>
      </w:pPr>
      <w:r>
        <w:rPr>
          <w:sz w:val="21"/>
        </w:rPr>
        <w:t>Ministerio de Economía y Finanzas. Consulta amigable de ejecución presupuestal. https://apps5.mineco.gob.pe/transparencia/</w:t>
      </w:r>
    </w:p>
    <w:p>
      <w:pPr>
        <w:spacing w:after="160" w:line="240" w:lineRule="auto"/>
        <w:ind w:left="720" w:hanging="720"/>
      </w:pPr>
      <w:r>
        <w:rPr>
          <w:sz w:val="21"/>
        </w:rPr>
        <w:t>Organismo Supervisor de Inversión Privada en Telecomunicaciones. (2025). OSIPTEL: ¿Cuántas líneas móviles hay en Perú al cierre de 2025? https://www.gob.pe/institucion/osiptel/noticias/1359346-osiptel-cuantas-lineas-moviles-hay-en-peru-al-cierre-de-2025</w:t>
      </w:r>
    </w:p>
    <w:p>
      <w:pPr>
        <w:spacing w:after="160" w:line="240" w:lineRule="auto"/>
        <w:ind w:left="720" w:hanging="720"/>
      </w:pPr>
      <w:r>
        <w:rPr>
          <w:sz w:val="21"/>
        </w:rPr>
        <w:t>Organización Panamericana de la Salud. (2025). Transformación digital: Perú valida interoperabilidad de historias clínicas electrónicas. https://www.paho.org/es/noticias/20-6-2025-transformacion-digital-peru-valida-interoperabilidad-historias-clinicas</w:t>
      </w:r>
    </w:p>
    <w:p>
      <w:pPr>
        <w:spacing w:after="160" w:line="240" w:lineRule="auto"/>
        <w:ind w:left="720" w:hanging="720"/>
      </w:pPr>
      <w:r>
        <w:rPr>
          <w:sz w:val="21"/>
        </w:rPr>
        <w:t>Plataforma Nacional de Datos Abiertos del Perú. https://www.datosabiertos.gob.pe</w:t>
      </w:r>
    </w:p>
    <w:p>
      <w:pPr>
        <w:spacing w:after="160" w:line="240" w:lineRule="auto"/>
        <w:ind w:left="720" w:hanging="720"/>
      </w:pPr>
      <w:r>
        <w:rPr>
          <w:sz w:val="21"/>
        </w:rPr>
        <w:t>Porter, M. E. (1996). What is strategy? Harvard Business Review, 74(6), 61–78.</w:t>
      </w:r>
    </w:p>
    <w:p>
      <w:pPr>
        <w:spacing w:after="160" w:line="240" w:lineRule="auto"/>
        <w:ind w:left="720" w:hanging="720"/>
      </w:pPr>
      <w:r>
        <w:rPr>
          <w:sz w:val="21"/>
        </w:rPr>
        <w:t>Rodríguez Bermúdez, J. R. (2015). Planificación y dirección estratégica de sistemas de información. Editorial UOC. https://elibro.net/es/lc/bibliotecaupt/titulos/57875</w:t>
      </w:r>
    </w:p>
    <w:p>
      <w:pPr>
        <w:spacing w:after="160" w:line="240" w:lineRule="auto"/>
        <w:ind w:left="720" w:hanging="720"/>
      </w:pPr>
      <w:r>
        <w:rPr>
          <w:sz w:val="21"/>
        </w:rPr>
        <w:t>Rodríguez Bermúdez, J. R. (2015). Usos estratégicos de las TIC. Editorial UOC. https://elibro.net/es/lc/bibliotecaupt/titulos/57677</w:t>
      </w:r>
    </w:p>
    <w:p>
      <w:pPr>
        <w:pStyle w:val="Heading1"/>
      </w:pPr>
      <w:r>
        <w:t>7. Anexos</w:t>
      </w:r>
    </w:p>
    <w:p>
      <w:pPr>
        <w:pStyle w:val="ListBullet"/>
      </w:pPr>
      <w:r>
        <w:t>anexo_A_matriz_vigilancia.xlsx</w:t>
      </w:r>
    </w:p>
    <w:p>
      <w:pPr>
        <w:pStyle w:val="ListBullet"/>
      </w:pPr>
      <w:r>
        <w:t>anexo_B_series_descargadas.zip — con su archivo de hashes (HASHES.txt)</w:t>
      </w:r>
    </w:p>
    <w:p>
      <w:pPr>
        <w:pStyle w:val="ListBullet"/>
      </w:pPr>
      <w:r>
        <w:t>anexo_C_graficos_contexto.png</w:t>
      </w:r>
    </w:p>
    <w:p>
      <w:pPr>
        <w:pStyle w:val="ListBullet"/>
      </w:pPr>
      <w:r>
        <w:t>anexo_D_seccion_1_1.pdf</w:t>
      </w:r>
    </w:p>
    <w:sectPr w:rsidR="00FC693F" w:rsidRPr="0006063C" w:rsidSect="00034616">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SI-886 PLANEAMIENTO ESTRATÉGICO DE TI · Laboratorio N.º 02 · Dr. Oscar Juan Jimenez Flores · Universidad Privada de Tacna — Escuela Profesional de Ingeniería de Sistemas.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6285C"/>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6285C"/>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1628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