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ratula"/>
      </w:pPr>
      <w:r>
        <w:drawing>
          <wp:inline>
            <wp:extent cx="791999" cy="791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ojimenez/Documents/UPT_CURSOS/logo_universida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55999" cy="78955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ojimenez/Documents/UPT_CURSOS/logo_escuela_sistemas.jpe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" cy="78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ratulaInstitucion"/>
      </w:pPr>
      <w:r>
        <w:t xml:space="preserve">UNIVERSIDAD PRIVADA DE TACNA</w:t>
      </w:r>
    </w:p>
    <w:p>
      <w:pPr>
        <w:pStyle w:val="CaratulaInstitucion"/>
      </w:pPr>
      <w:r>
        <w:t xml:space="preserve">FACULTAD DE INGENIERÍA</w:t>
      </w:r>
    </w:p>
    <w:p>
      <w:pPr>
        <w:pStyle w:val="CaratulaInstitucion"/>
      </w:pPr>
      <w:r>
        <w:t xml:space="preserve">ESCUELA PROFESIONAL DE INGENIERÍA DE SISTEMAS</w:t>
      </w:r>
    </w:p>
    <w:p>
      <w:pPr>
        <w:pStyle w:val="CaratulaTitulo"/>
      </w:pPr>
      <w:r>
        <w:t xml:space="preserve">INFORME DE LABORATORIO N.º ____</w:t>
      </w:r>
    </w:p>
    <w:p>
      <w:pPr>
        <w:pStyle w:val="CaratulaCurso"/>
      </w:pPr>
      <w:r>
        <w:t xml:space="preserve">AUDITORÍA DE SISTEMAS · SI-084</w:t>
      </w:r>
    </w:p>
    <w:p>
      <w:pPr>
        <w:pStyle w:val="CaratulaEtiqueta"/>
      </w:pPr>
      <w:r>
        <w:t xml:space="preserve">Título del taller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Semana N.º ____ · Unidad ____ · Grupo N.º ____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Integrantes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Linea"/>
      </w:pPr>
      <w:r>
        <w:t xml:space="preserve"> </w:t>
      </w:r>
    </w:p>
    <w:p>
      <w:pPr>
        <w:pStyle w:val="CaratulaEtiqueta"/>
      </w:pPr>
      <w:r>
        <w:t xml:space="preserve">Docente</w:t>
      </w:r>
    </w:p>
    <w:p>
      <w:pPr>
        <w:pStyle w:val="CaratulaLinea"/>
      </w:pPr>
      <w:r>
        <w:t xml:space="preserve">Dr. Oscar Juan Jimenez Flores</w:t>
      </w:r>
    </w:p>
    <w:p>
      <w:pPr>
        <w:pStyle w:val="CaratulaPie"/>
      </w:pPr>
      <w:r>
        <w:t xml:space="preserve">Tacna, Perú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Haz clic derecho aquí y elige «Actualizar campos» para generar el índice.</w:t>
      </w:r>
      <w:r>
        <w:fldChar w:fldCharType="end"/>
      </w:r>
    </w:p>
    ```
    ```{=openxml}
    <w:p>
      <w:r>
        <w:br w:type="page"/>
      </w:r>
    </w:p>
    <w:bookmarkStart w:id="15" w:name="cómo-se-usa-esta-plantilla"/>
    <w:p>
      <w:pPr>
        <w:pStyle w:val="Heading1"/>
      </w:pPr>
      <w:r>
        <w:t xml:space="preserve">Cómo se usa esta plantilla</w:t>
      </w:r>
    </w:p>
    <w:p>
      <w:pPr>
        <w:pStyle w:val="FirstParagraph"/>
      </w:pPr>
      <w:r>
        <w:t xml:space="preserve">Este es el formato en el que se entrega</w:t>
      </w:r>
      <w:r>
        <w:t xml:space="preserve"> </w:t>
      </w:r>
      <w:r>
        <w:rPr>
          <w:b/>
          <w:bCs/>
        </w:rPr>
        <w:t xml:space="preserve">todo informe de taller de SI-084</w:t>
      </w:r>
      <w:r>
        <w:t xml:space="preserve">. Se llena en Word y se entrega en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Guarda una copia con el nombre</w:t>
      </w:r>
      <w:r>
        <w:t xml:space="preserve"> </w:t>
      </w:r>
      <w:r>
        <w:rPr>
          <w:rStyle w:val="VerbatimChar"/>
          <w:b/>
          <w:bCs/>
        </w:rPr>
        <w:t xml:space="preserve">SI084-S&lt;NN&gt;-TALLER-Grupo&lt;N&gt;.pdf</w:t>
      </w:r>
      <w:r>
        <w:t xml:space="preserve">. Por ejemplo,</w:t>
      </w:r>
      <w:r>
        <w:t xml:space="preserve"> </w:t>
      </w:r>
      <w:r>
        <w:rPr>
          <w:rStyle w:val="VerbatimChar"/>
        </w:rPr>
        <w:t xml:space="preserve">SI084-S03-TALLER-Grupo4.pdf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Completa la carátula. Escribe los integrantes con apellidos, nombres y código, uno por línea.</w:t>
      </w:r>
    </w:p>
    <w:p>
      <w:pPr>
        <w:pStyle w:val="Compact"/>
        <w:numPr>
          <w:ilvl w:val="0"/>
          <w:numId w:val="1001"/>
        </w:numPr>
      </w:pPr>
      <w:r>
        <w:t xml:space="preserve">Copia el enunciado de cada sección desde el archivo</w:t>
      </w:r>
      <w:r>
        <w:t xml:space="preserve"> </w:t>
      </w:r>
      <w:r>
        <w:rPr>
          <w:rStyle w:val="VerbatimChar"/>
        </w:rPr>
        <w:t xml:space="preserve">3-TALLER.md</w:t>
      </w:r>
      <w:r>
        <w:t xml:space="preserve"> </w:t>
      </w:r>
      <w:r>
        <w:t xml:space="preserve">de la semana. Las siete secciones son las del formato EPIS y van en este orden.</w:t>
      </w:r>
    </w:p>
    <w:p>
      <w:pPr>
        <w:pStyle w:val="Compact"/>
        <w:numPr>
          <w:ilvl w:val="0"/>
          <w:numId w:val="1001"/>
        </w:numPr>
      </w:pPr>
      <w:r>
        <w:t xml:space="preserve">Actualiza el índice antes de exportar. Clic derecho sobre el índice y luego</w:t>
      </w:r>
      <w:r>
        <w:t xml:space="preserve"> </w:t>
      </w:r>
      <w:r>
        <w:rPr>
          <w:b/>
          <w:bCs/>
        </w:rPr>
        <w:t xml:space="preserve">Actualizar campos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Exporta con</w:t>
      </w:r>
      <w:r>
        <w:t xml:space="preserve"> </w:t>
      </w:r>
      <w:r>
        <w:rPr>
          <w:b/>
          <w:bCs/>
        </w:rPr>
        <w:t xml:space="preserve">Archivo → Guardar como → PDF</w:t>
      </w:r>
      <w:r>
        <w:t xml:space="preserve">. No entregues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FirstParagraph"/>
      </w:pPr>
      <w:r>
        <w:t xml:space="preserve">Borra esta página antes de entregar.</w:t>
      </w:r>
    </w:p>
    <w:p>
      <w:r>
        <w:br w:type="page"/>
      </w:r>
    </w:p>
    <w:bookmarkEnd w:id="15"/>
    <w:bookmarkStart w:id="22" w:name="información-sobre-el-evento-práctico"/>
    <w:p>
      <w:pPr>
        <w:pStyle w:val="Heading1"/>
      </w:pPr>
      <w:r>
        <w:t xml:space="preserve">1. Información sobre el evento práctico</w:t>
      </w:r>
    </w:p>
    <w:bookmarkStart w:id="16" w:name="título-del-evento-práctico"/>
    <w:p>
      <w:pPr>
        <w:pStyle w:val="Heading2"/>
      </w:pPr>
      <w:r>
        <w:t xml:space="preserve">1.1 Título del evento práctico</w:t>
      </w:r>
    </w:p>
    <w:p>
      <w:r>
        <w:t>Evaluación automatizada de controles generales de TI mediante herramientas libres de auditoría de configuración (compliance scanning), contrastando la evidencia técnica contra los CIS Benchmarks y el Anexo A de la ISO/IEC 27001:2022.</w:t>
      </w:r>
    </w:p>
    <w:bookmarkEnd w:id="16"/>
    <w:bookmarkStart w:id="17" w:name="objetivos"/>
    <w:p>
      <w:pPr>
        <w:pStyle w:val="Heading2"/>
      </w:pPr>
      <w:r>
        <w:t xml:space="preserve">1.2 Objetivos</w:t>
      </w:r>
    </w:p>
    <w:p>
      <w:r>
        <w:t>- Ejecutar Lynis para auditar el endurecimiento del sistema operativo anfitrión.</w:t>
      </w:r>
    </w:p>
    <w:p>
      <w:r>
        <w:t>- Ejecutar OpenSCAP con la guía SCAP Security Guide para evaluar cumplimiento contra un perfil normativo formal.</w:t>
      </w:r>
    </w:p>
    <w:p>
      <w:r>
        <w:t>- Ejecutar Docker Bench for Security para auditar el plano de contenedores contra el CIS Docker Benchmark.</w:t>
      </w:r>
    </w:p>
    <w:p>
      <w:r>
        <w:t>- Ejecutar Trivy para auditar vulnerabilidades de imágenes, malas configuraciones IaC y secretos embebidos.</w:t>
      </w:r>
    </w:p>
    <w:p>
      <w:r>
        <w:t>- Consolidar los cuatro reportes en una matriz de control única mapeada a ISO/IEC 27001:2022 y COBIT 2019.</w:t>
      </w:r>
    </w:p>
    <w:bookmarkEnd w:id="17"/>
    <w:bookmarkStart w:id="18" w:name="tiempo-de-duración"/>
    <w:p>
      <w:pPr>
        <w:pStyle w:val="Heading2"/>
      </w:pPr>
      <w:r>
        <w:t xml:space="preserve">1.3 Tiempo de duración</w:t>
      </w:r>
    </w:p>
    <w:p>
      <w:r>
        <w:t>100 minutos.</w:t>
      </w:r>
    </w:p>
    <w:bookmarkEnd w:id="18"/>
    <w:bookmarkStart w:id="19" w:name="resultados-de-aprendizaje"/>
    <w:p>
      <w:pPr>
        <w:pStyle w:val="Heading2"/>
      </w:pPr>
      <w:r>
        <w:t xml:space="preserve">1.4 Resultados de aprendizaje</w:t>
      </w:r>
    </w:p>
    <w:p>
      <w:r>
        <w:t>- RA1 Analiza e interpreta los conceptos y terminología de Auditoría de Sistemas.</w:t>
      </w:r>
    </w:p>
    <w:p>
      <w:r>
        <w:t>- RA2 Evalúa la seguridad de la información en Auditoría de Sistemas.</w:t>
      </w:r>
    </w:p>
    <w:bookmarkEnd w:id="19"/>
    <w:bookmarkStart w:id="20" w:name="recursos"/>
    <w:p>
      <w:pPr>
        <w:pStyle w:val="Heading2"/>
      </w:pPr>
      <w:r>
        <w:t xml:space="preserve">1.5 Recursos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Para qué se usó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seguridad"/>
    <w:p>
      <w:pPr>
        <w:pStyle w:val="Heading2"/>
      </w:pPr>
      <w:r>
        <w:t xml:space="preserve">1.6 Seguridad</w:t>
      </w:r>
    </w:p>
    <w:p>
      <w:r>
        <w:t>1. Lynis y Docker Bench requieren acceso de lectura al sistema anfitrión.</w:t>
      </w:r>
    </w:p>
    <w:p>
      <w:r>
        <w:t>2. Los reportes contienen el inventario de software y se clasifican como Confidenciales.</w:t>
      </w:r>
    </w:p>
    <w:p>
      <w:r>
        <w:t>3. Trivy en modo secret puede detectar credenciales reales presentes en el equipo.</w:t>
      </w:r>
    </w:p>
    <w:p>
      <w:r>
        <w:t>4. Ninguna herramienta se ejecuta contra equipos de la red del campus.</w:t>
      </w:r>
    </w:p>
    <w:p>
      <w:pPr>
        <w:pStyle w:val="FirstParagraph"/>
      </w:pPr>
      <w:r>
        <w:t xml:space="preserve">Reglas de uso del laboratorio y de alcance que se respetaron durante el trabajo.</w:t>
      </w:r>
    </w:p>
    <w:bookmarkEnd w:id="21"/>
    <w:bookmarkEnd w:id="22"/>
    <w:bookmarkStart w:id="26" w:name="procedimiento-o-metodología"/>
    <w:p>
      <w:pPr>
        <w:pStyle w:val="Heading1"/>
      </w:pPr>
      <w:r>
        <w:t xml:space="preserve">2. Procedimiento o metodología</w:t>
      </w:r>
    </w:p>
    <w:p>
      <w:pPr>
        <w:pStyle w:val="FirstParagraph"/>
      </w:pPr>
      <w:r>
        <w:t xml:space="preserve">Cada paso lleva su título, qué se buscaba, el comando o la acción, y la evidencia de que funcionó. Quien lea el informe debe poder repetir el trabajo sin preguntar nada.</w:t>
      </w:r>
    </w:p>
    <w:bookmarkStart w:id="23" w:name="paso-a"/>
    <w:p>
      <w:pPr>
        <w:pStyle w:val="Heading2"/>
      </w:pPr>
      <w:r>
        <w:t xml:space="preserve">Paso A</w:t>
      </w:r>
    </w:p>
    <w:p>
      <w:r>
        <w:t>Auditoría del sistema anfitrión con Lynis.</w:t>
      </w:r>
    </w:p>
    <w:p>
      <w:r>
        <w:t>Resultados Reales Obtenidos: El análisis reportó 38 warnings/sugerencias de endurecimiento en el entorno WSL Ubuntu (ej: falta de módulos PAM, etc).</w:t>
      </w:r>
    </w:p>
    <w:bookmarkEnd w:id="23"/>
    <w:bookmarkStart w:id="24" w:name="paso-b"/>
    <w:p>
      <w:pPr>
        <w:pStyle w:val="Heading2"/>
      </w:pPr>
      <w:r>
        <w:t xml:space="preserve">Paso B</w:t>
      </w:r>
    </w:p>
    <w:p>
      <w:r>
        <w:t>Cumplimiento formal con OpenSCAP.</w:t>
      </w:r>
    </w:p>
    <w:p>
      <w:r>
        <w:t>Resultados Reales Obtenidos: El análisis encontró 0 fallos contra las reglas de nivel 1 de CIS.</w:t>
      </w:r>
    </w:p>
    <w:bookmarkEnd w:id="24"/>
    <w:bookmarkStart w:id="25" w:name="paso-c"/>
    <w:p>
      <w:pPr>
        <w:pStyle w:val="Heading2"/>
      </w:pPr>
      <w:r>
        <w:t xml:space="preserve">Paso C</w:t>
      </w:r>
    </w:p>
    <w:p>
      <w:r>
        <w:t>CIS Docker Benchmark con Docker Bench.</w:t>
      </w:r>
    </w:p>
    <w:p>
      <w:r>
        <w:t>Resultados Reales Obtenidos: El análisis encontró 25 problemas de configuración en el daemon y runtime de contenedores Docker (ej: Docker daemon root privileges, user namespace remapping, etc).</w:t>
      </w:r>
    </w:p>
    <w:bookmarkEnd w:id="25"/>
    <w:bookmarkEnd w:id="26"/>
    <w:bookmarkStart w:id="27" w:name="resultados"/>
    <w:p>
      <w:pPr>
        <w:pStyle w:val="Heading1"/>
      </w:pPr>
      <w:r>
        <w:t xml:space="preserve">3. Resultados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Herramienta</w:t>
            </w:r>
          </w:p>
        </w:tc>
        <w:tc>
          <w:tcPr>
            <w:tcW w:type="dxa" w:w="1871"/>
          </w:tcPr>
          <w:p>
            <w:r>
              <w:t>Severidad</w:t>
            </w:r>
          </w:p>
        </w:tc>
        <w:tc>
          <w:tcPr>
            <w:tcW w:type="dxa" w:w="1871"/>
          </w:tcPr>
          <w:p>
            <w:r>
              <w:t>Hallazgo</w:t>
            </w:r>
          </w:p>
        </w:tc>
        <w:tc>
          <w:tcPr>
            <w:tcW w:type="dxa" w:w="1871"/>
          </w:tcPr>
          <w:p>
            <w:r>
              <w:t>ISO 27001</w:t>
            </w:r>
          </w:p>
        </w:tc>
        <w:tc>
          <w:tcPr>
            <w:tcW w:type="dxa" w:w="1871"/>
          </w:tcPr>
          <w:p>
            <w:r>
              <w:t>COBIT 2019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DEB-0280|Install libpam-tmpdir to set $TMP and $TMPDIR for PAM sessions|-|-|...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DEB-0810|Install apt-listbugs to display a list of critical bugs prior to each APT installation.|-|-...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DEB-0811|Install apt-listchanges to display any significant changes prior to any upgrade via APT.|-|...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DEB-0831|Install needrestart, alternatively to debian-goodies, so that you can run needrestart after...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DEB-0880|Install fail2ban to automatically ban hosts that commit multiple authentication errors.|-|-...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BOOT-5180|Determine runlevel and services at startup|-|-|...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BOOT-5264|Consider hardening system services|Run '/usr/bin/systemd-analyze security SERVICE' for eac...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KRNL-5788|Determine why /vmlinuz or /boot/vmlinuz is missing on this Debian/Ubuntu system.|/vmlinuz 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AUTH-9230|Configure password hashing rounds in /etc/login.defs|-|-|...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AUTH-9262|Install a PAM module for password strength testing like pam_cracklib or pam_passwdqc or li...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AUTH-9286|Configure minimum password age in /etc/login.defs|-|-|...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AUTH-9286|Configure maximum password age in /etc/login.defs|-|-|...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AUTH-9328|Default umask in /etc/login.defs could not be found and defaults usually to 022, which cou...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FILE-6310|To decrease the impact of a full /home file system, place /home on a separate partition|-|...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FILE-6310|To decrease the impact of a full /var file system, place /var on a separate partition|-|-|...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USB-1000|Disable drivers like USB storage when not used, to prevent unauthorized storage or data the...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PKGS-7370|Install debsums utility for the verification of packages with known good database.|-|-|...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Alta</w:t>
            </w:r>
          </w:p>
        </w:tc>
        <w:tc>
          <w:tcPr>
            <w:tcW w:type="dxa" w:w="1871"/>
          </w:tcPr>
          <w:p>
            <w:r>
              <w:t>PKGS-7392|Found one or more vulnerable packages.|-|-|...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PKGS-7392|Update your system with apt-get update, apt-get upgrade, apt-get dist-upgrade and/or unatt...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  <w:tr>
        <w:tc>
          <w:tcPr>
            <w:tcW w:type="dxa" w:w="1871"/>
          </w:tcPr>
          <w:p>
            <w:r>
              <w:t>Lynis</w:t>
            </w:r>
          </w:p>
        </w:tc>
        <w:tc>
          <w:tcPr>
            <w:tcW w:type="dxa" w:w="1871"/>
          </w:tcPr>
          <w:p>
            <w:r>
              <w:t>Media</w:t>
            </w:r>
          </w:p>
        </w:tc>
        <w:tc>
          <w:tcPr>
            <w:tcW w:type="dxa" w:w="1871"/>
          </w:tcPr>
          <w:p>
            <w:r>
              <w:t>PKGS-7394|Install package apt-show-versions for patch management purposes|-|-|...</w:t>
            </w:r>
          </w:p>
        </w:tc>
        <w:tc>
          <w:tcPr>
            <w:tcW w:type="dxa" w:w="1871"/>
          </w:tcPr>
          <w:p>
            <w:r>
              <w:t>A.8.8</w:t>
            </w:r>
          </w:p>
        </w:tc>
        <w:tc>
          <w:tcPr>
            <w:tcW w:type="dxa" w:w="1871"/>
          </w:tcPr>
          <w:p>
            <w:r>
              <w:t>DSS05.04</w:t>
            </w:r>
          </w:p>
        </w:tc>
      </w:tr>
    </w:tbl>
    <w:p>
      <w:r>
        <w:t>A continuación, se muestra una extracción (top 20) de la matriz de hallazgos consolidada (PT04_matriz_control.csv) a partir de los escaneos en el entorno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¿Se logró?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Si algo no se logró, explícalo aquí. Un resultado no alcanzado y bien explicado vale más que uno declarado sin evidencia.</w:t>
      </w:r>
    </w:p>
    <w:bookmarkEnd w:id="27"/>
    <w:bookmarkStart w:id="28" w:name="conclusiones"/>
    <w:p>
      <w:pPr>
        <w:pStyle w:val="Heading1"/>
      </w:pPr>
      <w:r>
        <w:t xml:space="preserve">4. Conclusiones</w:t>
      </w:r>
    </w:p>
    <w:p>
      <w:r>
        <w:t>Se demostró de manera práctica la utilidad de las herramientas automatizadas (Lynis, OpenSCAP, Docker Bench, Trivy) para auditar configuraciones y vulnerabilidades en un entorno real.</w:t>
      </w:r>
    </w:p>
    <w:p>
      <w:r>
        <w:t>Al procesar los resultados obtenidos, se pudo generar una base consolidada de hallazgos mapeados con estándares de seguridad internacional, sirviendo como evidencia legítima de auditoría técnica.</w:t>
      </w:r>
    </w:p>
    <w:p>
      <w:pPr>
        <w:pStyle w:val="FirstParagraph"/>
      </w:pPr>
      <w:r>
        <w:t xml:space="preserve">Mínimo tres. Una conclusión no resume lo que hiciste. Dice lo que aprendiste y se sostiene en la evidencia de la sección 3.</w:t>
      </w:r>
    </w:p>
    <w:bookmarkEnd w:id="28"/>
    <w:bookmarkStart w:id="29" w:name="cuestionario"/>
    <w:p>
      <w:pPr>
        <w:pStyle w:val="Heading1"/>
      </w:pPr>
      <w:r>
        <w:t xml:space="preserve">5. Cuestionario</w:t>
      </w:r>
    </w:p>
    <w:p>
      <w:pPr>
        <w:pStyle w:val="FirstParagraph"/>
      </w:pPr>
      <w:r>
        <w:t xml:space="preserve">Copia cada pregunta de la guía de la semana y respóndela debajo.</w:t>
      </w:r>
    </w:p>
    <w:bookmarkEnd w:id="29"/>
    <w:bookmarkStart w:id="30" w:name="referencias-bibliográficas"/>
    <w:p>
      <w:pPr>
        <w:pStyle w:val="Heading1"/>
      </w:pPr>
      <w:r>
        <w:t xml:space="preserve">6. Referencias bibliográficas</w:t>
      </w:r>
    </w:p>
    <w:p>
      <w:pPr>
        <w:pStyle w:val="FirstParagraph"/>
      </w:pPr>
      <w:r>
        <w:t xml:space="preserve">Normas técnicas, marcos profesionales, documentación oficial y bibliografía indexada, en formato APA. No se admiten wikis abiertas ni sitios sin autoría verificable.</w:t>
      </w:r>
    </w:p>
    <w:bookmarkEnd w:id="30"/>
    <w:bookmarkStart w:id="31" w:name="anexos"/>
    <w:p>
      <w:pPr>
        <w:pStyle w:val="Heading1"/>
      </w:pPr>
      <w:r>
        <w:t xml:space="preserve">7. Anexos</w:t>
      </w:r>
    </w:p>
    <w:p>
      <w:pPr>
        <w:pStyle w:val="FirstParagraph"/>
      </w:pPr>
      <w:r>
        <w:t xml:space="preserve">Capturas completas, archivos de configuración y salidas extensas. Cada anexo lleva su letra y su título, y se menciona en el cuerpo del informe.</w:t>
      </w:r>
    </w:p>
    <w:bookmarkEnd w:id="31"/>
    <w:p>
      <w:pPr>
        <w:pStyle w:val="Heading2"/>
      </w:pPr>
      <w:r>
        <w:t>Paso D</w:t>
      </w:r>
    </w:p>
    <w:p>
      <w:r>
        <w:t>Vulnerabilidades en imágenes con Trivy. Resultados Reales Obtenidos: Se identificaron 420 vulnerabilidades (Severidad Alta y Crítica) en las imágenes Juice-Shop, Postgres, WordPress y MariaDB.</w:t>
      </w:r>
    </w:p>
    <w:p>
      <w:pPr>
        <w:pStyle w:val="Heading2"/>
      </w:pPr>
      <w:r>
        <w:t>Paso E</w:t>
      </w:r>
    </w:p>
    <w:p>
      <w:r>
        <w:t>Consolidación en una matriz de control. Se extrajeron los hallazgos a un formato CSV unificado mapeado con ISO 27001:A.8.8 y COBIT DSS05.</w:t>
      </w:r>
    </w:p>
    <w:sectPr>
      <w:headerReference r:id="rIdHdr1" w:type="default"/>
      <w:footerReference r:id="rIdFtr1" w:type="default"/>
      <w:pgSz w:h="16838" w:w="11906"/>
      <w:pgMar w:bottom="1418" w:footer="709" w:gutter="0" w:header="709" w:left="1276" w:right="1276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rFonts w:ascii="Arial" w:hAnsi="Arial"/>
        <w:color w:val="1F4E79"/>
        <w:sz w:val="18"/>
      </w:rPr>
      <w:t xml:space="preserve">Dr. Oscar Juan Jimenez Flores</w:t>
    </w:r>
    <w:r>
      <w:tab/>
    </w:r>
    <w:r>
      <w:rPr>
        <w:rFonts w:ascii="Arial" w:hAnsi="Arial"/>
        <w:color w:val="1F4E79"/>
        <w:sz w:val="18"/>
      </w:rPr>
      <w:t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/>
        <w:color w:val="1F4E79"/>
        <w:sz w:val="18"/>
      </w:rPr>
      <w:t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12" w:space="2" w:color="1F4E79"/>
      </w:pBdr>
      <w:tabs>
        <w:tab w:val="right" w:pos="9072"/>
      </w:tabs>
      <w:spacing w:after="0"/>
    </w:pPr>
    <w:r>
      <w:drawing>
        <wp:inline distT="0" distB="0" distL="0" distR="0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Arial" w:hAnsi="Arial"/>
        <w:color w:val="1F4E79"/>
        <w:sz w:val="20"/>
      </w:rPr>
      <w:t xml:space="preserve">Escuela Profesional de Ingeniería de Sistemas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qFormat/>
    <w:pPr>
      <w:jc w:val="both"/>
      <w:spacing w:after="120" w:before="0"/>
    </w:pPr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Arial" w:cs="Arial" w:eastAsia="Arial" w:hAnsi="Arial"/>
      <w:b/>
      <w:color w:val="16285C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00"/>
      <w:outlineLvl w:val="1"/>
    </w:pPr>
    <w:rPr>
      <w:rFonts w:ascii="Arial" w:cs="Arial" w:eastAsia="Arial" w:hAnsi="Arial"/>
      <w:b/>
      <w:color w:val="16285C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ascii="Arial" w:cs="Arial" w:eastAsia="Arial" w:hAnsi="Arial"/>
      <w:b/>
      <w:color w:val="1F4E79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40"/>
      <w:outlineLvl w:val="3"/>
    </w:pPr>
    <w:rPr>
      <w:rFonts w:ascii="Arial" w:cs="Arial" w:eastAsia="Arial" w:hAnsi="Arial"/>
      <w:b/>
      <w:color w:val="1F4E79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AA5B1" w:space="0" w:sz="6" w:val="single"/>
        <w:left w:color="9AA5B1" w:space="0" w:sz="6" w:val="single"/>
        <w:bottom w:color="9AA5B1" w:space="0" w:sz="6" w:val="single"/>
        <w:right w:color="9AA5B1" w:space="0" w:sz="6" w:val="single"/>
        <w:insideH w:color="9AA5B1" w:space="0" w:sz="6" w:val="single"/>
        <w:insideV w:color="9AA5B1" w:space="0" w:sz="6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EDF2F8" w:val="clear"/>
        <w:tcBorders>
          <w:bottom w:color="16285C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customStyle="1" w:styleId="Centrado" w:type="paragraph">
    <w:name w:val="Centrado"/>
    <w:basedOn w:val="BodyText"/>
    <w:qFormat/>
    <w:pPr>
      <w:jc w:val="center"/>
      <w:spacing w:after="100" w:before="100"/>
    </w:pPr>
    <w:rPr>
      <w:rFonts w:ascii="Arial" w:hAnsi="Arial"/>
    </w:rPr>
  </w:style>
  <w:style w:customStyle="1" w:styleId="TituloCaratula" w:type="paragraph">
    <w:name w:val="TituloCaratula"/>
    <w:basedOn w:val="BodyText"/>
    <w:qFormat/>
    <w:pPr>
      <w:jc w:val="center"/>
      <w:spacing w:after="240" w:before="240"/>
    </w:pPr>
    <w:rPr>
      <w:rFonts w:ascii="Arial" w:hAnsi="Arial"/>
      <w:sz w:val="52"/>
    </w:rPr>
  </w:style>
  <w:style w:customStyle="1" w:styleId="Caratula" w:type="paragraph">
    <w:name w:val="Caratula"/>
    <w:basedOn w:val="BodyText"/>
    <w:qFormat/>
    <w:pPr>
      <w:jc w:val="center"/>
      <w:spacing w:after="80" w:before="0"/>
    </w:pPr>
    <w:rPr>
      <w:rFonts w:ascii="Arial" w:hAnsi="Arial"/>
      <w:sz w:val="22"/>
    </w:rPr>
  </w:style>
  <w:style w:customStyle="1" w:styleId="CaratulaInstitucion" w:type="paragraph">
    <w:name w:val="Caratula Institucion"/>
    <w:basedOn w:val="Caratula"/>
    <w:qFormat/>
    <w:pPr>
      <w:jc w:val="center"/>
      <w:spacing w:after="0" w:before="0"/>
    </w:pPr>
    <w:rPr>
      <w:rFonts w:ascii="Arial" w:hAnsi="Arial"/>
      <w:b/>
      <w:color w:val="16285C"/>
      <w:sz w:val="22"/>
    </w:rPr>
  </w:style>
  <w:style w:customStyle="1" w:styleId="CaratulaTitulo" w:type="paragraph">
    <w:name w:val="Caratula Titulo"/>
    <w:basedOn w:val="Caratula"/>
    <w:qFormat/>
    <w:pPr>
      <w:jc w:val="center"/>
      <w:spacing w:after="60" w:before="420"/>
      <w:pBdr>
        <w:top w:color="16285C" w:space="8" w:sz="8" w:val="single"/>
        <w:bottom w:color="16285C" w:space="8" w:sz="8" w:val="single"/>
      </w:pBdr>
    </w:pPr>
    <w:rPr>
      <w:rFonts w:ascii="Arial" w:hAnsi="Arial"/>
      <w:b/>
      <w:color w:val="16285C"/>
      <w:sz w:val="30"/>
    </w:rPr>
  </w:style>
  <w:style w:customStyle="1" w:styleId="CaratulaCurso" w:type="paragraph">
    <w:name w:val="Caratula Curso"/>
    <w:basedOn w:val="Caratula"/>
    <w:qFormat/>
    <w:pPr>
      <w:jc w:val="center"/>
      <w:spacing w:after="360" w:before="120"/>
    </w:pPr>
    <w:rPr>
      <w:rFonts w:ascii="Arial" w:hAnsi="Arial"/>
      <w:b/>
      <w:sz w:val="24"/>
    </w:rPr>
  </w:style>
  <w:style w:customStyle="1" w:styleId="CaratulaCampo" w:type="paragraph">
    <w:name w:val="Caratula Campo"/>
    <w:basedOn w:val="Caratula"/>
    <w:qFormat/>
    <w:pPr>
      <w:jc w:val="center"/>
      <w:spacing w:after="200" w:before="0"/>
    </w:pPr>
    <w:rPr>
      <w:rFonts w:ascii="Arial" w:hAnsi="Arial"/>
      <w:sz w:val="22"/>
    </w:rPr>
  </w:style>
  <w:style w:customStyle="1" w:styleId="Instruccion" w:type="paragraph">
    <w:name w:val="Instruccion"/>
    <w:basedOn w:val="BodyText"/>
    <w:qFormat/>
    <w:pPr>
      <w:spacing w:after="100" w:before="0"/>
    </w:pPr>
    <w:rPr>
      <w:rFonts w:ascii="Arial" w:hAnsi="Arial"/>
      <w:i/>
      <w:color w:val="5B6B7C"/>
      <w:sz w:val="20"/>
    </w:rPr>
  </w:style>
  <w:style w:customStyle="1" w:styleId="CaratulaEtiqueta" w:type="paragraph">
    <w:name w:val="Caratula Etiqueta"/>
    <w:basedOn w:val="Caratula"/>
    <w:qFormat/>
    <w:pPr>
      <w:jc w:val="center"/>
      <w:spacing w:after="0" w:before="260"/>
    </w:pPr>
    <w:rPr>
      <w:rFonts w:ascii="Arial" w:hAnsi="Arial"/>
      <w:b/>
      <w:caps/>
      <w:color w:val="16285C"/>
      <w:sz w:val="20"/>
    </w:rPr>
  </w:style>
  <w:style w:customStyle="1" w:styleId="CaratulaLinea" w:type="paragraph">
    <w:name w:val="Caratula Linea"/>
    <w:basedOn w:val="Caratula"/>
    <w:qFormat/>
    <w:pPr>
      <w:jc w:val="center"/>
      <w:spacing w:after="0" w:before="0" w:line="320" w:lineRule="auto"/>
    </w:pPr>
    <w:rPr>
      <w:rFonts w:ascii="Arial" w:hAnsi="Arial"/>
      <w:sz w:val="22"/>
    </w:rPr>
  </w:style>
  <w:style w:customStyle="1" w:styleId="CaratulaPie" w:type="paragraph">
    <w:name w:val="Caratula Pie"/>
    <w:basedOn w:val="Caratula"/>
    <w:qFormat/>
    <w:pPr>
      <w:jc w:val="center"/>
      <w:spacing w:after="0" w:before="2400"/>
    </w:pPr>
    <w:rPr>
      <w:rFonts w:ascii="Arial" w:hAnsi="Arial"/>
      <w:sz w:val="22"/>
    </w:rPr>
  </w:style>
  <w:style w:type="paragraph" w:customStyle="1" w:styleId="CaratulaCurso">
    <w:name w:val="CaratulaCurso"/>
    <w:basedOn w:val="BodyText"/>
    <w:qFormat/>
  </w:style>
  <w:style w:type="paragraph" w:customStyle="1" w:styleId="CaratulaEtiqueta">
    <w:name w:val="CaratulaEtiqueta"/>
    <w:basedOn w:val="BodyText"/>
    <w:qFormat/>
  </w:style>
  <w:style w:type="paragraph" w:customStyle="1" w:styleId="CaratulaInstitucion">
    <w:name w:val="CaratulaInstitucion"/>
    <w:basedOn w:val="BodyText"/>
    <w:qFormat/>
  </w:style>
  <w:style w:type="paragraph" w:customStyle="1" w:styleId="CaratulaLinea">
    <w:name w:val="CaratulaLinea"/>
    <w:basedOn w:val="BodyText"/>
    <w:qFormat/>
  </w:style>
  <w:style w:type="paragraph" w:customStyle="1" w:styleId="CaratulaPie">
    <w:name w:val="CaratulaPie"/>
    <w:basedOn w:val="BodyText"/>
    <w:qFormat/>
  </w:style>
  <w:style w:type="paragraph" w:customStyle="1" w:styleId="CaratulaTitulo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12" Type="http://schemas.openxmlformats.org/officeDocument/2006/relationships/image" Target="media/rId12.jpg"/><Relationship Id="rId9" Type="http://schemas.openxmlformats.org/officeDocument/2006/relationships/image" Target="media/rId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_up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2026-08-27T20:08:59Z</dcterms:created>
  <dcterms:modified xsi:type="dcterms:W3CDTF">2026-08-27T20:08:59Z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