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aratula"/>
      </w:pPr>
      <w:r>
        <w:drawing>
          <wp:inline>
            <wp:extent cx="791999" cy="79199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Users/ojimenez/Documents/UPT_CURSOS/logo_universida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1999" cy="79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755999" cy="78955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Users/ojimenez/Documents/UPT_CURSOS/logo_escuela_sistemas.jpe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99" cy="789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ratulaInstitucion"/>
      </w:pPr>
      <w:r>
        <w:t xml:space="preserve">UNIVERSIDAD PRIVADA DE TACNA</w:t>
      </w:r>
    </w:p>
    <w:p>
      <w:pPr>
        <w:pStyle w:val="CaratulaInstitucion"/>
      </w:pPr>
      <w:r>
        <w:t xml:space="preserve">FACULTAD DE INGENIERÍA</w:t>
      </w:r>
    </w:p>
    <w:p>
      <w:pPr>
        <w:pStyle w:val="CaratulaInstitucion"/>
      </w:pPr>
      <w:r>
        <w:t xml:space="preserve">ESCUELA PROFESIONAL DE INGENIERÍA DE SISTEMAS</w:t>
      </w:r>
    </w:p>
    <w:p>
      <w:pPr>
        <w:pStyle w:val="CaratulaTitulo"/>
      </w:pPr>
      <w:r>
        <w:t xml:space="preserve">INFORME DE LABORATORIO N.º ____</w:t>
      </w:r>
    </w:p>
    <w:p>
      <w:pPr>
        <w:pStyle w:val="CaratulaCurso"/>
      </w:pPr>
      <w:r>
        <w:t xml:space="preserve">AUDITORÍA DE SISTEMAS · SI-084</w:t>
      </w:r>
    </w:p>
    <w:p>
      <w:pPr>
        <w:pStyle w:val="CaratulaEtiqueta"/>
      </w:pPr>
      <w:r>
        <w:t xml:space="preserve">Título del taller</w:t>
      </w:r>
    </w:p>
    <w:p>
      <w:pPr>
        <w:pStyle w:val="CaratulaLinea"/>
      </w:pPr>
      <w:r>
        <w:t xml:space="preserve"> </w:t>
      </w:r>
    </w:p>
    <w:p>
      <w:pPr>
        <w:pStyle w:val="CaratulaEtiqueta"/>
      </w:pPr>
      <w:r>
        <w:t xml:space="preserve">Semana N.º ____ · Unidad ____ · Grupo N.º ____</w:t>
      </w:r>
    </w:p>
    <w:p>
      <w:pPr>
        <w:pStyle w:val="CaratulaLinea"/>
      </w:pPr>
      <w:r>
        <w:t xml:space="preserve"> </w:t>
      </w:r>
    </w:p>
    <w:p>
      <w:pPr>
        <w:pStyle w:val="CaratulaEtiqueta"/>
      </w:pPr>
      <w:r>
        <w:t xml:space="preserve">Integrantes</w:t>
      </w:r>
    </w:p>
    <w:p>
      <w:pPr>
        <w:pStyle w:val="CaratulaLinea"/>
      </w:pPr>
      <w:r>
        <w:t xml:space="preserve"> </w:t>
      </w:r>
    </w:p>
    <w:p>
      <w:pPr>
        <w:pStyle w:val="CaratulaLinea"/>
      </w:pPr>
      <w:r>
        <w:t xml:space="preserve"> </w:t>
      </w:r>
    </w:p>
    <w:p>
      <w:pPr>
        <w:pStyle w:val="CaratulaLinea"/>
      </w:pPr>
      <w:r>
        <w:t xml:space="preserve"> </w:t>
      </w:r>
    </w:p>
    <w:p>
      <w:pPr>
        <w:pStyle w:val="CaratulaLinea"/>
      </w:pPr>
      <w:r>
        <w:t xml:space="preserve"> </w:t>
      </w:r>
    </w:p>
    <w:p>
      <w:pPr>
        <w:pStyle w:val="CaratulaEtiqueta"/>
      </w:pPr>
      <w:r>
        <w:t xml:space="preserve">Docente</w:t>
      </w:r>
    </w:p>
    <w:p>
      <w:pPr>
        <w:pStyle w:val="CaratulaLinea"/>
      </w:pPr>
      <w:r>
        <w:t xml:space="preserve">Dr. Oscar Juan Jimenez Flores</w:t>
      </w:r>
    </w:p>
    <w:p>
      <w:pPr>
        <w:pStyle w:val="CaratulaPie"/>
      </w:pPr>
      <w:r>
        <w:t xml:space="preserve">Tacna, Perú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pStyle w:val="TOC1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t>Haz clic derecho aquí y elige «Actualizar campos» para generar el índice.</w:t>
      </w:r>
      <w:r>
        <w:fldChar w:fldCharType="end"/>
      </w:r>
    </w:p>
    ```
    ```{=openxml}
    <w:p>
      <w:r>
        <w:br w:type="page"/>
      </w:r>
    </w:p>
    <w:bookmarkStart w:id="15" w:name="cómo-se-usa-esta-plantilla"/>
    <w:p>
      <w:pPr>
        <w:pStyle w:val="Heading1"/>
      </w:pPr>
      <w:r>
        <w:t xml:space="preserve">Cómo se usa esta plantilla</w:t>
      </w:r>
    </w:p>
    <w:p>
      <w:pPr>
        <w:pStyle w:val="FirstParagraph"/>
      </w:pPr>
      <w:r>
        <w:t xml:space="preserve">Este es el formato en el que se entrega</w:t>
      </w:r>
      <w:r>
        <w:t xml:space="preserve"> </w:t>
      </w:r>
      <w:r>
        <w:rPr>
          <w:b/>
          <w:bCs/>
        </w:rPr>
        <w:t xml:space="preserve">todo informe de taller de SI-084</w:t>
      </w:r>
      <w:r>
        <w:t xml:space="preserve">. Se llena en Word y se entrega en</w:t>
      </w:r>
      <w:r>
        <w:t xml:space="preserve"> </w:t>
      </w:r>
      <w:r>
        <w:rPr>
          <w:b/>
          <w:bCs/>
        </w:rPr>
        <w:t xml:space="preserve">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Guarda una copia con el nombre</w:t>
      </w:r>
      <w:r>
        <w:t xml:space="preserve"> </w:t>
      </w:r>
      <w:r>
        <w:rPr>
          <w:rStyle w:val="VerbatimChar"/>
          <w:b/>
          <w:bCs/>
        </w:rPr>
        <w:t xml:space="preserve">SI084-S&lt;NN&gt;-TALLER-Grupo&lt;N&gt;.pdf</w:t>
      </w:r>
      <w:r>
        <w:t xml:space="preserve">. Por ejemplo,</w:t>
      </w:r>
      <w:r>
        <w:t xml:space="preserve"> </w:t>
      </w:r>
      <w:r>
        <w:rPr>
          <w:rStyle w:val="VerbatimChar"/>
        </w:rPr>
        <w:t xml:space="preserve">SI084-S03-TALLER-Grupo4.pdf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Completa la carátula. Escribe los integrantes con apellidos, nombres y código, uno por línea.</w:t>
      </w:r>
    </w:p>
    <w:p>
      <w:pPr>
        <w:pStyle w:val="Compact"/>
        <w:numPr>
          <w:ilvl w:val="0"/>
          <w:numId w:val="1001"/>
        </w:numPr>
      </w:pPr>
      <w:r>
        <w:t xml:space="preserve">Copia el enunciado de cada sección desde el archivo</w:t>
      </w:r>
      <w:r>
        <w:t xml:space="preserve"> </w:t>
      </w:r>
      <w:r>
        <w:rPr>
          <w:rStyle w:val="VerbatimChar"/>
        </w:rPr>
        <w:t xml:space="preserve">3-TALLER.md</w:t>
      </w:r>
      <w:r>
        <w:t xml:space="preserve"> </w:t>
      </w:r>
      <w:r>
        <w:t xml:space="preserve">de la semana. Las siete secciones son las del formato EPIS y van en este orden.</w:t>
      </w:r>
    </w:p>
    <w:p>
      <w:pPr>
        <w:pStyle w:val="Compact"/>
        <w:numPr>
          <w:ilvl w:val="0"/>
          <w:numId w:val="1001"/>
        </w:numPr>
      </w:pPr>
      <w:r>
        <w:t xml:space="preserve">Actualiza el índice antes de exportar. Clic derecho sobre el índice y luego</w:t>
      </w:r>
      <w:r>
        <w:t xml:space="preserve"> </w:t>
      </w:r>
      <w:r>
        <w:rPr>
          <w:b/>
          <w:bCs/>
        </w:rPr>
        <w:t xml:space="preserve">Actualizar campos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Exporta con</w:t>
      </w:r>
      <w:r>
        <w:t xml:space="preserve"> </w:t>
      </w:r>
      <w:r>
        <w:rPr>
          <w:b/>
          <w:bCs/>
        </w:rPr>
        <w:t xml:space="preserve">Archivo → Guardar como → PDF</w:t>
      </w:r>
      <w:r>
        <w:t xml:space="preserve">. No entregues 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</w:t>
      </w:r>
    </w:p>
    <w:p>
      <w:pPr>
        <w:pStyle w:val="FirstParagraph"/>
      </w:pPr>
      <w:r>
        <w:t xml:space="preserve">Borra esta página antes de entregar.</w:t>
      </w:r>
    </w:p>
    <w:p>
      <w:r>
        <w:br w:type="page"/>
      </w:r>
    </w:p>
    <w:bookmarkEnd w:id="15"/>
    <w:bookmarkStart w:id="22" w:name="información-sobre-el-evento-práctico"/>
    <w:p>
      <w:pPr>
        <w:pStyle w:val="Heading1"/>
      </w:pPr>
      <w:r>
        <w:t xml:space="preserve">1. Información sobre el evento práctico</w:t>
      </w:r>
    </w:p>
    <w:bookmarkStart w:id="16" w:name="título-del-evento-práctico"/>
    <w:p>
      <w:pPr>
        <w:pStyle w:val="Heading2"/>
      </w:pPr>
      <w:r>
        <w:t xml:space="preserve">1.1 Título del evento práctico</w:t>
      </w:r>
    </w:p>
    <w:bookmarkEnd w:id="16"/>
    <w:bookmarkStart w:id="17" w:name="objetivos"/>
    <w:p>
      <w:pPr>
        <w:pStyle w:val="Heading2"/>
      </w:pPr>
      <w:r>
        <w:t xml:space="preserve">1.2 Objetivos</w:t>
      </w:r>
    </w:p>
    <w:bookmarkEnd w:id="17"/>
    <w:bookmarkStart w:id="18" w:name="tiempo-de-duración"/>
    <w:p>
      <w:pPr>
        <w:pStyle w:val="Heading2"/>
      </w:pPr>
      <w:r>
        <w:t xml:space="preserve">1.3 Tiempo de duración</w:t>
      </w:r>
    </w:p>
    <w:bookmarkEnd w:id="18"/>
    <w:bookmarkStart w:id="19" w:name="resultados-de-aprendizaje"/>
    <w:p>
      <w:pPr>
        <w:pStyle w:val="Heading2"/>
      </w:pPr>
      <w:r>
        <w:t xml:space="preserve">1.4 Resultados de aprendizaje</w:t>
      </w:r>
    </w:p>
    <w:bookmarkEnd w:id="19"/>
    <w:bookmarkStart w:id="20" w:name="recursos"/>
    <w:p>
      <w:pPr>
        <w:pStyle w:val="Heading2"/>
      </w:pPr>
      <w:r>
        <w:t xml:space="preserve">1.5 Recursos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Para qué se usó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seguridad"/>
    <w:p>
      <w:pPr>
        <w:pStyle w:val="Heading2"/>
      </w:pPr>
      <w:r>
        <w:t xml:space="preserve">1.6 Seguridad</w:t>
      </w:r>
    </w:p>
    <w:p>
      <w:pPr>
        <w:pStyle w:val="FirstParagraph"/>
      </w:pPr>
      <w:r>
        <w:t xml:space="preserve">Reglas de uso del laboratorio y de alcance que se respetaron durante el trabajo.</w:t>
      </w:r>
    </w:p>
    <w:bookmarkEnd w:id="21"/>
    <w:bookmarkEnd w:id="22"/>
    <w:bookmarkStart w:id="26" w:name="procedimiento-o-metodología"/>
    <w:p>
      <w:pPr>
        <w:pStyle w:val="Heading1"/>
      </w:pPr>
      <w:r>
        <w:t xml:space="preserve">2. Procedimiento o metodología</w:t>
      </w:r>
    </w:p>
    <w:p>
      <w:pPr>
        <w:pStyle w:val="FirstParagraph"/>
      </w:pPr>
      <w:r>
        <w:t xml:space="preserve">Cada paso lleva su título, qué se buscaba, el comando o la acción, y la evidencia de que funcionó. Quien lea el informe debe poder repetir el trabajo sin preguntar nada.</w:t>
      </w:r>
    </w:p>
    <w:bookmarkStart w:id="23" w:name="paso-a"/>
    <w:p>
      <w:pPr>
        <w:pStyle w:val="Heading2"/>
      </w:pPr>
      <w:r>
        <w:t xml:space="preserve">Paso A</w:t>
      </w:r>
    </w:p>
    <w:bookmarkEnd w:id="23"/>
    <w:bookmarkStart w:id="24" w:name="paso-b"/>
    <w:p>
      <w:pPr>
        <w:pStyle w:val="Heading2"/>
      </w:pPr>
      <w:r>
        <w:t xml:space="preserve">Paso B</w:t>
      </w:r>
    </w:p>
    <w:bookmarkEnd w:id="24"/>
    <w:bookmarkStart w:id="25" w:name="paso-c"/>
    <w:p>
      <w:pPr>
        <w:pStyle w:val="Heading2"/>
      </w:pPr>
      <w:r>
        <w:t xml:space="preserve">Paso C</w:t>
      </w:r>
    </w:p>
    <w:bookmarkEnd w:id="25"/>
    <w:bookmarkEnd w:id="26"/>
    <w:bookmarkStart w:id="27" w:name="resultados"/>
    <w:p>
      <w:pPr>
        <w:pStyle w:val="Heading1"/>
      </w:pPr>
      <w:r>
        <w:t xml:space="preserve">3. 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¿Se logró?</w:t>
            </w:r>
          </w:p>
        </w:tc>
        <w:tc>
          <w:tcPr/>
          <w:p>
            <w:pPr>
              <w:pStyle w:val="Compact"/>
            </w:pPr>
            <w:r>
              <w:t xml:space="preserve">Evidencia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Si algo no se logró, explícalo aquí. Un resultado no alcanzado y bien explicado vale más que uno declarado sin evidencia.</w:t>
      </w:r>
    </w:p>
    <w:bookmarkEnd w:id="27"/>
    <w:bookmarkStart w:id="28" w:name="conclusiones"/>
    <w:p>
      <w:pPr>
        <w:pStyle w:val="Heading1"/>
      </w:pPr>
      <w:r>
        <w:t xml:space="preserve">4. Conclusiones</w:t>
      </w:r>
    </w:p>
    <w:p>
      <w:pPr>
        <w:pStyle w:val="FirstParagraph"/>
      </w:pPr>
      <w:r>
        <w:t xml:space="preserve">Mínimo tres. Una conclusión no resume lo que hiciste. Dice lo que aprendiste y se sostiene en la evidencia de la sección 3.</w:t>
      </w:r>
    </w:p>
    <w:bookmarkEnd w:id="28"/>
    <w:bookmarkStart w:id="29" w:name="cuestionario"/>
    <w:p>
      <w:pPr>
        <w:pStyle w:val="Heading1"/>
      </w:pPr>
      <w:r>
        <w:t xml:space="preserve">5. Cuestionario</w:t>
      </w:r>
    </w:p>
    <w:p>
      <w:pPr>
        <w:pStyle w:val="FirstParagraph"/>
      </w:pPr>
      <w:r>
        <w:t xml:space="preserve">Copia cada pregunta de la guía de la semana y respóndela debajo.</w:t>
      </w:r>
    </w:p>
    <w:bookmarkEnd w:id="29"/>
    <w:bookmarkStart w:id="30" w:name="referencias-bibliográficas"/>
    <w:p>
      <w:pPr>
        <w:pStyle w:val="Heading1"/>
      </w:pPr>
      <w:r>
        <w:t xml:space="preserve">6. Referencias bibliográficas</w:t>
      </w:r>
    </w:p>
    <w:p>
      <w:pPr>
        <w:pStyle w:val="FirstParagraph"/>
      </w:pPr>
      <w:r>
        <w:t xml:space="preserve">Normas técnicas, marcos profesionales, documentación oficial y bibliografía indexada, en formato APA. No se admiten wikis abiertas ni sitios sin autoría verificable.</w:t>
      </w:r>
    </w:p>
    <w:bookmarkEnd w:id="30"/>
    <w:bookmarkStart w:id="31" w:name="anexos"/>
    <w:p>
      <w:pPr>
        <w:pStyle w:val="Heading1"/>
      </w:pPr>
      <w:r>
        <w:t xml:space="preserve">7. Anexos</w:t>
      </w:r>
    </w:p>
    <w:p>
      <w:pPr>
        <w:pStyle w:val="FirstParagraph"/>
      </w:pPr>
      <w:r>
        <w:t xml:space="preserve">Capturas completas, archivos de configuración y salidas extensas. Cada anexo lleva su letra y su título, y se menciona en el cuerpo del informe.</w:t>
      </w:r>
    </w:p>
    <w:bookmarkEnd w:id="31"/>
    <w:p>
      <w:pPr>
        <w:pStyle w:val="Heading1"/>
      </w:pPr>
      <w:r>
        <w:t>2. Resultados de la Auditoría</w:t>
      </w:r>
    </w:p>
    <w:p>
      <w:r>
        <w:t>Durante la ejecución real de las herramientas en el entorno WSL Ubuntu, se hallaron un total de 483 vulnerabilidades y problemas de configuración.</w:t>
      </w:r>
    </w:p>
    <w:p>
      <w:r>
        <w:t>De los cuales 421 son de riesgo ALTO/CRÍTICO y 62 son de riesgo MEDIO.</w:t>
      </w:r>
    </w:p>
    <w:p>
      <w:pPr>
        <w:pStyle w:val="Heading2"/>
      </w:pPr>
      <w:r>
        <w:t>2.1 Resumen por Herramienta</w:t>
      </w:r>
    </w:p>
    <w:p>
      <w:r>
        <w:t>- Lynis: 38 hallazgos (Problemas de configuración OS)</w:t>
      </w:r>
    </w:p>
    <w:p>
      <w:r>
        <w:t>- OpenSCAP: 0 hallazgos (Compliance CIS)</w:t>
      </w:r>
    </w:p>
    <w:p>
      <w:r>
        <w:t>- Docker Bench for Security: 25 hallazgos (Configuración de contenedores)</w:t>
      </w:r>
    </w:p>
    <w:p>
      <w:r>
        <w:t>- Trivy: 420 hallazgos (Vulnerabilidades en imágenes)</w:t>
      </w:r>
    </w:p>
    <w:p>
      <w:pPr>
        <w:pStyle w:val="Heading2"/>
      </w:pPr>
      <w:r>
        <w:t>2.2 Matriz de Hallazgos (Top 20)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r>
              <w:t>Herramienta</w:t>
            </w:r>
          </w:p>
        </w:tc>
        <w:tc>
          <w:tcPr>
            <w:tcW w:type="dxa" w:w="1871"/>
          </w:tcPr>
          <w:p>
            <w:r>
              <w:t>Severidad</w:t>
            </w:r>
          </w:p>
        </w:tc>
        <w:tc>
          <w:tcPr>
            <w:tcW w:type="dxa" w:w="1871"/>
          </w:tcPr>
          <w:p>
            <w:r>
              <w:t>Hallazgo</w:t>
            </w:r>
          </w:p>
        </w:tc>
        <w:tc>
          <w:tcPr>
            <w:tcW w:type="dxa" w:w="1871"/>
          </w:tcPr>
          <w:p>
            <w:r>
              <w:t>ISO 27001</w:t>
            </w:r>
          </w:p>
        </w:tc>
        <w:tc>
          <w:tcPr>
            <w:tcW w:type="dxa" w:w="1871"/>
          </w:tcPr>
          <w:p>
            <w:r>
              <w:t>COBIT 2019</w:t>
            </w:r>
          </w:p>
        </w:tc>
      </w:tr>
      <w:tr>
        <w:tc>
          <w:tcPr>
            <w:tcW w:type="dxa" w:w="1871"/>
          </w:tcPr>
          <w:p>
            <w:r>
              <w:t>Lynis</w:t>
            </w:r>
          </w:p>
        </w:tc>
        <w:tc>
          <w:tcPr>
            <w:tcW w:type="dxa" w:w="1871"/>
          </w:tcPr>
          <w:p>
            <w:r>
              <w:t>Media</w:t>
            </w:r>
          </w:p>
        </w:tc>
        <w:tc>
          <w:tcPr>
            <w:tcW w:type="dxa" w:w="1871"/>
          </w:tcPr>
          <w:p>
            <w:r>
              <w:t>DEB-0280|Install libpam-tmpdir to set $TMP and $TMPDIR for PAM sessions|-|-|...</w:t>
            </w:r>
          </w:p>
        </w:tc>
        <w:tc>
          <w:tcPr>
            <w:tcW w:type="dxa" w:w="1871"/>
          </w:tcPr>
          <w:p>
            <w:r>
              <w:t>A.8.8</w:t>
            </w:r>
          </w:p>
        </w:tc>
        <w:tc>
          <w:tcPr>
            <w:tcW w:type="dxa" w:w="1871"/>
          </w:tcPr>
          <w:p>
            <w:r>
              <w:t>DSS05.04</w:t>
            </w:r>
          </w:p>
        </w:tc>
      </w:tr>
      <w:tr>
        <w:tc>
          <w:tcPr>
            <w:tcW w:type="dxa" w:w="1871"/>
          </w:tcPr>
          <w:p>
            <w:r>
              <w:t>Lynis</w:t>
            </w:r>
          </w:p>
        </w:tc>
        <w:tc>
          <w:tcPr>
            <w:tcW w:type="dxa" w:w="1871"/>
          </w:tcPr>
          <w:p>
            <w:r>
              <w:t>Media</w:t>
            </w:r>
          </w:p>
        </w:tc>
        <w:tc>
          <w:tcPr>
            <w:tcW w:type="dxa" w:w="1871"/>
          </w:tcPr>
          <w:p>
            <w:r>
              <w:t>DEB-0810|Install apt-listbugs to display a list of critical bugs prior to each APT installation.|-|-...</w:t>
            </w:r>
          </w:p>
        </w:tc>
        <w:tc>
          <w:tcPr>
            <w:tcW w:type="dxa" w:w="1871"/>
          </w:tcPr>
          <w:p>
            <w:r>
              <w:t>A.8.8</w:t>
            </w:r>
          </w:p>
        </w:tc>
        <w:tc>
          <w:tcPr>
            <w:tcW w:type="dxa" w:w="1871"/>
          </w:tcPr>
          <w:p>
            <w:r>
              <w:t>DSS05.04</w:t>
            </w:r>
          </w:p>
        </w:tc>
      </w:tr>
      <w:tr>
        <w:tc>
          <w:tcPr>
            <w:tcW w:type="dxa" w:w="1871"/>
          </w:tcPr>
          <w:p>
            <w:r>
              <w:t>Lynis</w:t>
            </w:r>
          </w:p>
        </w:tc>
        <w:tc>
          <w:tcPr>
            <w:tcW w:type="dxa" w:w="1871"/>
          </w:tcPr>
          <w:p>
            <w:r>
              <w:t>Media</w:t>
            </w:r>
          </w:p>
        </w:tc>
        <w:tc>
          <w:tcPr>
            <w:tcW w:type="dxa" w:w="1871"/>
          </w:tcPr>
          <w:p>
            <w:r>
              <w:t>DEB-0811|Install apt-listchanges to display any significant changes prior to any upgrade via APT.|-|...</w:t>
            </w:r>
          </w:p>
        </w:tc>
        <w:tc>
          <w:tcPr>
            <w:tcW w:type="dxa" w:w="1871"/>
          </w:tcPr>
          <w:p>
            <w:r>
              <w:t>A.8.8</w:t>
            </w:r>
          </w:p>
        </w:tc>
        <w:tc>
          <w:tcPr>
            <w:tcW w:type="dxa" w:w="1871"/>
          </w:tcPr>
          <w:p>
            <w:r>
              <w:t>DSS05.04</w:t>
            </w:r>
          </w:p>
        </w:tc>
      </w:tr>
      <w:tr>
        <w:tc>
          <w:tcPr>
            <w:tcW w:type="dxa" w:w="1871"/>
          </w:tcPr>
          <w:p>
            <w:r>
              <w:t>Lynis</w:t>
            </w:r>
          </w:p>
        </w:tc>
        <w:tc>
          <w:tcPr>
            <w:tcW w:type="dxa" w:w="1871"/>
          </w:tcPr>
          <w:p>
            <w:r>
              <w:t>Media</w:t>
            </w:r>
          </w:p>
        </w:tc>
        <w:tc>
          <w:tcPr>
            <w:tcW w:type="dxa" w:w="1871"/>
          </w:tcPr>
          <w:p>
            <w:r>
              <w:t>DEB-0831|Install needrestart, alternatively to debian-goodies, so that you can run needrestart after...</w:t>
            </w:r>
          </w:p>
        </w:tc>
        <w:tc>
          <w:tcPr>
            <w:tcW w:type="dxa" w:w="1871"/>
          </w:tcPr>
          <w:p>
            <w:r>
              <w:t>A.8.8</w:t>
            </w:r>
          </w:p>
        </w:tc>
        <w:tc>
          <w:tcPr>
            <w:tcW w:type="dxa" w:w="1871"/>
          </w:tcPr>
          <w:p>
            <w:r>
              <w:t>DSS05.04</w:t>
            </w:r>
          </w:p>
        </w:tc>
      </w:tr>
      <w:tr>
        <w:tc>
          <w:tcPr>
            <w:tcW w:type="dxa" w:w="1871"/>
          </w:tcPr>
          <w:p>
            <w:r>
              <w:t>Lynis</w:t>
            </w:r>
          </w:p>
        </w:tc>
        <w:tc>
          <w:tcPr>
            <w:tcW w:type="dxa" w:w="1871"/>
          </w:tcPr>
          <w:p>
            <w:r>
              <w:t>Media</w:t>
            </w:r>
          </w:p>
        </w:tc>
        <w:tc>
          <w:tcPr>
            <w:tcW w:type="dxa" w:w="1871"/>
          </w:tcPr>
          <w:p>
            <w:r>
              <w:t>DEB-0880|Install fail2ban to automatically ban hosts that commit multiple authentication errors.|-|-...</w:t>
            </w:r>
          </w:p>
        </w:tc>
        <w:tc>
          <w:tcPr>
            <w:tcW w:type="dxa" w:w="1871"/>
          </w:tcPr>
          <w:p>
            <w:r>
              <w:t>A.8.8</w:t>
            </w:r>
          </w:p>
        </w:tc>
        <w:tc>
          <w:tcPr>
            <w:tcW w:type="dxa" w:w="1871"/>
          </w:tcPr>
          <w:p>
            <w:r>
              <w:t>DSS05.04</w:t>
            </w:r>
          </w:p>
        </w:tc>
      </w:tr>
      <w:tr>
        <w:tc>
          <w:tcPr>
            <w:tcW w:type="dxa" w:w="1871"/>
          </w:tcPr>
          <w:p>
            <w:r>
              <w:t>Lynis</w:t>
            </w:r>
          </w:p>
        </w:tc>
        <w:tc>
          <w:tcPr>
            <w:tcW w:type="dxa" w:w="1871"/>
          </w:tcPr>
          <w:p>
            <w:r>
              <w:t>Media</w:t>
            </w:r>
          </w:p>
        </w:tc>
        <w:tc>
          <w:tcPr>
            <w:tcW w:type="dxa" w:w="1871"/>
          </w:tcPr>
          <w:p>
            <w:r>
              <w:t>BOOT-5180|Determine runlevel and services at startup|-|-|...</w:t>
            </w:r>
          </w:p>
        </w:tc>
        <w:tc>
          <w:tcPr>
            <w:tcW w:type="dxa" w:w="1871"/>
          </w:tcPr>
          <w:p>
            <w:r>
              <w:t>A.8.8</w:t>
            </w:r>
          </w:p>
        </w:tc>
        <w:tc>
          <w:tcPr>
            <w:tcW w:type="dxa" w:w="1871"/>
          </w:tcPr>
          <w:p>
            <w:r>
              <w:t>DSS05.04</w:t>
            </w:r>
          </w:p>
        </w:tc>
      </w:tr>
      <w:tr>
        <w:tc>
          <w:tcPr>
            <w:tcW w:type="dxa" w:w="1871"/>
          </w:tcPr>
          <w:p>
            <w:r>
              <w:t>Lynis</w:t>
            </w:r>
          </w:p>
        </w:tc>
        <w:tc>
          <w:tcPr>
            <w:tcW w:type="dxa" w:w="1871"/>
          </w:tcPr>
          <w:p>
            <w:r>
              <w:t>Media</w:t>
            </w:r>
          </w:p>
        </w:tc>
        <w:tc>
          <w:tcPr>
            <w:tcW w:type="dxa" w:w="1871"/>
          </w:tcPr>
          <w:p>
            <w:r>
              <w:t>BOOT-5264|Consider hardening system services|Run '/usr/bin/systemd-analyze security SERVICE' for eac...</w:t>
            </w:r>
          </w:p>
        </w:tc>
        <w:tc>
          <w:tcPr>
            <w:tcW w:type="dxa" w:w="1871"/>
          </w:tcPr>
          <w:p>
            <w:r>
              <w:t>A.8.8</w:t>
            </w:r>
          </w:p>
        </w:tc>
        <w:tc>
          <w:tcPr>
            <w:tcW w:type="dxa" w:w="1871"/>
          </w:tcPr>
          <w:p>
            <w:r>
              <w:t>DSS05.04</w:t>
            </w:r>
          </w:p>
        </w:tc>
      </w:tr>
      <w:tr>
        <w:tc>
          <w:tcPr>
            <w:tcW w:type="dxa" w:w="1871"/>
          </w:tcPr>
          <w:p>
            <w:r>
              <w:t>Lynis</w:t>
            </w:r>
          </w:p>
        </w:tc>
        <w:tc>
          <w:tcPr>
            <w:tcW w:type="dxa" w:w="1871"/>
          </w:tcPr>
          <w:p>
            <w:r>
              <w:t>Media</w:t>
            </w:r>
          </w:p>
        </w:tc>
        <w:tc>
          <w:tcPr>
            <w:tcW w:type="dxa" w:w="1871"/>
          </w:tcPr>
          <w:p>
            <w:r>
              <w:t>KRNL-5788|Determine why /vmlinuz or /boot/vmlinuz is missing on this Debian/Ubuntu system.|/vmlinuz ...</w:t>
            </w:r>
          </w:p>
        </w:tc>
        <w:tc>
          <w:tcPr>
            <w:tcW w:type="dxa" w:w="1871"/>
          </w:tcPr>
          <w:p>
            <w:r>
              <w:t>A.8.8</w:t>
            </w:r>
          </w:p>
        </w:tc>
        <w:tc>
          <w:tcPr>
            <w:tcW w:type="dxa" w:w="1871"/>
          </w:tcPr>
          <w:p>
            <w:r>
              <w:t>DSS05.04</w:t>
            </w:r>
          </w:p>
        </w:tc>
      </w:tr>
      <w:tr>
        <w:tc>
          <w:tcPr>
            <w:tcW w:type="dxa" w:w="1871"/>
          </w:tcPr>
          <w:p>
            <w:r>
              <w:t>Lynis</w:t>
            </w:r>
          </w:p>
        </w:tc>
        <w:tc>
          <w:tcPr>
            <w:tcW w:type="dxa" w:w="1871"/>
          </w:tcPr>
          <w:p>
            <w:r>
              <w:t>Media</w:t>
            </w:r>
          </w:p>
        </w:tc>
        <w:tc>
          <w:tcPr>
            <w:tcW w:type="dxa" w:w="1871"/>
          </w:tcPr>
          <w:p>
            <w:r>
              <w:t>AUTH-9230|Configure password hashing rounds in /etc/login.defs|-|-|...</w:t>
            </w:r>
          </w:p>
        </w:tc>
        <w:tc>
          <w:tcPr>
            <w:tcW w:type="dxa" w:w="1871"/>
          </w:tcPr>
          <w:p>
            <w:r>
              <w:t>A.8.8</w:t>
            </w:r>
          </w:p>
        </w:tc>
        <w:tc>
          <w:tcPr>
            <w:tcW w:type="dxa" w:w="1871"/>
          </w:tcPr>
          <w:p>
            <w:r>
              <w:t>DSS05.04</w:t>
            </w:r>
          </w:p>
        </w:tc>
      </w:tr>
      <w:tr>
        <w:tc>
          <w:tcPr>
            <w:tcW w:type="dxa" w:w="1871"/>
          </w:tcPr>
          <w:p>
            <w:r>
              <w:t>Lynis</w:t>
            </w:r>
          </w:p>
        </w:tc>
        <w:tc>
          <w:tcPr>
            <w:tcW w:type="dxa" w:w="1871"/>
          </w:tcPr>
          <w:p>
            <w:r>
              <w:t>Media</w:t>
            </w:r>
          </w:p>
        </w:tc>
        <w:tc>
          <w:tcPr>
            <w:tcW w:type="dxa" w:w="1871"/>
          </w:tcPr>
          <w:p>
            <w:r>
              <w:t>AUTH-9262|Install a PAM module for password strength testing like pam_cracklib or pam_passwdqc or li...</w:t>
            </w:r>
          </w:p>
        </w:tc>
        <w:tc>
          <w:tcPr>
            <w:tcW w:type="dxa" w:w="1871"/>
          </w:tcPr>
          <w:p>
            <w:r>
              <w:t>A.8.8</w:t>
            </w:r>
          </w:p>
        </w:tc>
        <w:tc>
          <w:tcPr>
            <w:tcW w:type="dxa" w:w="1871"/>
          </w:tcPr>
          <w:p>
            <w:r>
              <w:t>DSS05.04</w:t>
            </w:r>
          </w:p>
        </w:tc>
      </w:tr>
      <w:tr>
        <w:tc>
          <w:tcPr>
            <w:tcW w:type="dxa" w:w="1871"/>
          </w:tcPr>
          <w:p>
            <w:r>
              <w:t>Lynis</w:t>
            </w:r>
          </w:p>
        </w:tc>
        <w:tc>
          <w:tcPr>
            <w:tcW w:type="dxa" w:w="1871"/>
          </w:tcPr>
          <w:p>
            <w:r>
              <w:t>Media</w:t>
            </w:r>
          </w:p>
        </w:tc>
        <w:tc>
          <w:tcPr>
            <w:tcW w:type="dxa" w:w="1871"/>
          </w:tcPr>
          <w:p>
            <w:r>
              <w:t>AUTH-9286|Configure minimum password age in /etc/login.defs|-|-|...</w:t>
            </w:r>
          </w:p>
        </w:tc>
        <w:tc>
          <w:tcPr>
            <w:tcW w:type="dxa" w:w="1871"/>
          </w:tcPr>
          <w:p>
            <w:r>
              <w:t>A.8.8</w:t>
            </w:r>
          </w:p>
        </w:tc>
        <w:tc>
          <w:tcPr>
            <w:tcW w:type="dxa" w:w="1871"/>
          </w:tcPr>
          <w:p>
            <w:r>
              <w:t>DSS05.04</w:t>
            </w:r>
          </w:p>
        </w:tc>
      </w:tr>
      <w:tr>
        <w:tc>
          <w:tcPr>
            <w:tcW w:type="dxa" w:w="1871"/>
          </w:tcPr>
          <w:p>
            <w:r>
              <w:t>Lynis</w:t>
            </w:r>
          </w:p>
        </w:tc>
        <w:tc>
          <w:tcPr>
            <w:tcW w:type="dxa" w:w="1871"/>
          </w:tcPr>
          <w:p>
            <w:r>
              <w:t>Media</w:t>
            </w:r>
          </w:p>
        </w:tc>
        <w:tc>
          <w:tcPr>
            <w:tcW w:type="dxa" w:w="1871"/>
          </w:tcPr>
          <w:p>
            <w:r>
              <w:t>AUTH-9286|Configure maximum password age in /etc/login.defs|-|-|...</w:t>
            </w:r>
          </w:p>
        </w:tc>
        <w:tc>
          <w:tcPr>
            <w:tcW w:type="dxa" w:w="1871"/>
          </w:tcPr>
          <w:p>
            <w:r>
              <w:t>A.8.8</w:t>
            </w:r>
          </w:p>
        </w:tc>
        <w:tc>
          <w:tcPr>
            <w:tcW w:type="dxa" w:w="1871"/>
          </w:tcPr>
          <w:p>
            <w:r>
              <w:t>DSS05.04</w:t>
            </w:r>
          </w:p>
        </w:tc>
      </w:tr>
      <w:tr>
        <w:tc>
          <w:tcPr>
            <w:tcW w:type="dxa" w:w="1871"/>
          </w:tcPr>
          <w:p>
            <w:r>
              <w:t>Lynis</w:t>
            </w:r>
          </w:p>
        </w:tc>
        <w:tc>
          <w:tcPr>
            <w:tcW w:type="dxa" w:w="1871"/>
          </w:tcPr>
          <w:p>
            <w:r>
              <w:t>Media</w:t>
            </w:r>
          </w:p>
        </w:tc>
        <w:tc>
          <w:tcPr>
            <w:tcW w:type="dxa" w:w="1871"/>
          </w:tcPr>
          <w:p>
            <w:r>
              <w:t>AUTH-9328|Default umask in /etc/login.defs could not be found and defaults usually to 022, which cou...</w:t>
            </w:r>
          </w:p>
        </w:tc>
        <w:tc>
          <w:tcPr>
            <w:tcW w:type="dxa" w:w="1871"/>
          </w:tcPr>
          <w:p>
            <w:r>
              <w:t>A.8.8</w:t>
            </w:r>
          </w:p>
        </w:tc>
        <w:tc>
          <w:tcPr>
            <w:tcW w:type="dxa" w:w="1871"/>
          </w:tcPr>
          <w:p>
            <w:r>
              <w:t>DSS05.04</w:t>
            </w:r>
          </w:p>
        </w:tc>
      </w:tr>
      <w:tr>
        <w:tc>
          <w:tcPr>
            <w:tcW w:type="dxa" w:w="1871"/>
          </w:tcPr>
          <w:p>
            <w:r>
              <w:t>Lynis</w:t>
            </w:r>
          </w:p>
        </w:tc>
        <w:tc>
          <w:tcPr>
            <w:tcW w:type="dxa" w:w="1871"/>
          </w:tcPr>
          <w:p>
            <w:r>
              <w:t>Media</w:t>
            </w:r>
          </w:p>
        </w:tc>
        <w:tc>
          <w:tcPr>
            <w:tcW w:type="dxa" w:w="1871"/>
          </w:tcPr>
          <w:p>
            <w:r>
              <w:t>FILE-6310|To decrease the impact of a full /home file system, place /home on a separate partition|-|...</w:t>
            </w:r>
          </w:p>
        </w:tc>
        <w:tc>
          <w:tcPr>
            <w:tcW w:type="dxa" w:w="1871"/>
          </w:tcPr>
          <w:p>
            <w:r>
              <w:t>A.8.8</w:t>
            </w:r>
          </w:p>
        </w:tc>
        <w:tc>
          <w:tcPr>
            <w:tcW w:type="dxa" w:w="1871"/>
          </w:tcPr>
          <w:p>
            <w:r>
              <w:t>DSS05.04</w:t>
            </w:r>
          </w:p>
        </w:tc>
      </w:tr>
      <w:tr>
        <w:tc>
          <w:tcPr>
            <w:tcW w:type="dxa" w:w="1871"/>
          </w:tcPr>
          <w:p>
            <w:r>
              <w:t>Lynis</w:t>
            </w:r>
          </w:p>
        </w:tc>
        <w:tc>
          <w:tcPr>
            <w:tcW w:type="dxa" w:w="1871"/>
          </w:tcPr>
          <w:p>
            <w:r>
              <w:t>Media</w:t>
            </w:r>
          </w:p>
        </w:tc>
        <w:tc>
          <w:tcPr>
            <w:tcW w:type="dxa" w:w="1871"/>
          </w:tcPr>
          <w:p>
            <w:r>
              <w:t>FILE-6310|To decrease the impact of a full /var file system, place /var on a separate partition|-|-|...</w:t>
            </w:r>
          </w:p>
        </w:tc>
        <w:tc>
          <w:tcPr>
            <w:tcW w:type="dxa" w:w="1871"/>
          </w:tcPr>
          <w:p>
            <w:r>
              <w:t>A.8.8</w:t>
            </w:r>
          </w:p>
        </w:tc>
        <w:tc>
          <w:tcPr>
            <w:tcW w:type="dxa" w:w="1871"/>
          </w:tcPr>
          <w:p>
            <w:r>
              <w:t>DSS05.04</w:t>
            </w:r>
          </w:p>
        </w:tc>
      </w:tr>
      <w:tr>
        <w:tc>
          <w:tcPr>
            <w:tcW w:type="dxa" w:w="1871"/>
          </w:tcPr>
          <w:p>
            <w:r>
              <w:t>Lynis</w:t>
            </w:r>
          </w:p>
        </w:tc>
        <w:tc>
          <w:tcPr>
            <w:tcW w:type="dxa" w:w="1871"/>
          </w:tcPr>
          <w:p>
            <w:r>
              <w:t>Media</w:t>
            </w:r>
          </w:p>
        </w:tc>
        <w:tc>
          <w:tcPr>
            <w:tcW w:type="dxa" w:w="1871"/>
          </w:tcPr>
          <w:p>
            <w:r>
              <w:t>USB-1000|Disable drivers like USB storage when not used, to prevent unauthorized storage or data the...</w:t>
            </w:r>
          </w:p>
        </w:tc>
        <w:tc>
          <w:tcPr>
            <w:tcW w:type="dxa" w:w="1871"/>
          </w:tcPr>
          <w:p>
            <w:r>
              <w:t>A.8.8</w:t>
            </w:r>
          </w:p>
        </w:tc>
        <w:tc>
          <w:tcPr>
            <w:tcW w:type="dxa" w:w="1871"/>
          </w:tcPr>
          <w:p>
            <w:r>
              <w:t>DSS05.04</w:t>
            </w:r>
          </w:p>
        </w:tc>
      </w:tr>
      <w:tr>
        <w:tc>
          <w:tcPr>
            <w:tcW w:type="dxa" w:w="1871"/>
          </w:tcPr>
          <w:p>
            <w:r>
              <w:t>Lynis</w:t>
            </w:r>
          </w:p>
        </w:tc>
        <w:tc>
          <w:tcPr>
            <w:tcW w:type="dxa" w:w="1871"/>
          </w:tcPr>
          <w:p>
            <w:r>
              <w:t>Media</w:t>
            </w:r>
          </w:p>
        </w:tc>
        <w:tc>
          <w:tcPr>
            <w:tcW w:type="dxa" w:w="1871"/>
          </w:tcPr>
          <w:p>
            <w:r>
              <w:t>PKGS-7370|Install debsums utility for the verification of packages with known good database.|-|-|...</w:t>
            </w:r>
          </w:p>
        </w:tc>
        <w:tc>
          <w:tcPr>
            <w:tcW w:type="dxa" w:w="1871"/>
          </w:tcPr>
          <w:p>
            <w:r>
              <w:t>A.8.8</w:t>
            </w:r>
          </w:p>
        </w:tc>
        <w:tc>
          <w:tcPr>
            <w:tcW w:type="dxa" w:w="1871"/>
          </w:tcPr>
          <w:p>
            <w:r>
              <w:t>DSS05.04</w:t>
            </w:r>
          </w:p>
        </w:tc>
      </w:tr>
      <w:tr>
        <w:tc>
          <w:tcPr>
            <w:tcW w:type="dxa" w:w="1871"/>
          </w:tcPr>
          <w:p>
            <w:r>
              <w:t>Lynis</w:t>
            </w:r>
          </w:p>
        </w:tc>
        <w:tc>
          <w:tcPr>
            <w:tcW w:type="dxa" w:w="1871"/>
          </w:tcPr>
          <w:p>
            <w:r>
              <w:t>Alta</w:t>
            </w:r>
          </w:p>
        </w:tc>
        <w:tc>
          <w:tcPr>
            <w:tcW w:type="dxa" w:w="1871"/>
          </w:tcPr>
          <w:p>
            <w:r>
              <w:t>PKGS-7392|Found one or more vulnerable packages.|-|-|...</w:t>
            </w:r>
          </w:p>
        </w:tc>
        <w:tc>
          <w:tcPr>
            <w:tcW w:type="dxa" w:w="1871"/>
          </w:tcPr>
          <w:p>
            <w:r>
              <w:t>A.8.8</w:t>
            </w:r>
          </w:p>
        </w:tc>
        <w:tc>
          <w:tcPr>
            <w:tcW w:type="dxa" w:w="1871"/>
          </w:tcPr>
          <w:p>
            <w:r>
              <w:t>DSS05.04</w:t>
            </w:r>
          </w:p>
        </w:tc>
      </w:tr>
      <w:tr>
        <w:tc>
          <w:tcPr>
            <w:tcW w:type="dxa" w:w="1871"/>
          </w:tcPr>
          <w:p>
            <w:r>
              <w:t>Lynis</w:t>
            </w:r>
          </w:p>
        </w:tc>
        <w:tc>
          <w:tcPr>
            <w:tcW w:type="dxa" w:w="1871"/>
          </w:tcPr>
          <w:p>
            <w:r>
              <w:t>Media</w:t>
            </w:r>
          </w:p>
        </w:tc>
        <w:tc>
          <w:tcPr>
            <w:tcW w:type="dxa" w:w="1871"/>
          </w:tcPr>
          <w:p>
            <w:r>
              <w:t>PKGS-7392|Update your system with apt-get update, apt-get upgrade, apt-get dist-upgrade and/or unatt...</w:t>
            </w:r>
          </w:p>
        </w:tc>
        <w:tc>
          <w:tcPr>
            <w:tcW w:type="dxa" w:w="1871"/>
          </w:tcPr>
          <w:p>
            <w:r>
              <w:t>A.8.8</w:t>
            </w:r>
          </w:p>
        </w:tc>
        <w:tc>
          <w:tcPr>
            <w:tcW w:type="dxa" w:w="1871"/>
          </w:tcPr>
          <w:p>
            <w:r>
              <w:t>DSS05.04</w:t>
            </w:r>
          </w:p>
        </w:tc>
      </w:tr>
      <w:tr>
        <w:tc>
          <w:tcPr>
            <w:tcW w:type="dxa" w:w="1871"/>
          </w:tcPr>
          <w:p>
            <w:r>
              <w:t>Lynis</w:t>
            </w:r>
          </w:p>
        </w:tc>
        <w:tc>
          <w:tcPr>
            <w:tcW w:type="dxa" w:w="1871"/>
          </w:tcPr>
          <w:p>
            <w:r>
              <w:t>Media</w:t>
            </w:r>
          </w:p>
        </w:tc>
        <w:tc>
          <w:tcPr>
            <w:tcW w:type="dxa" w:w="1871"/>
          </w:tcPr>
          <w:p>
            <w:r>
              <w:t>PKGS-7394|Install package apt-show-versions for patch management purposes|-|-|...</w:t>
            </w:r>
          </w:p>
        </w:tc>
        <w:tc>
          <w:tcPr>
            <w:tcW w:type="dxa" w:w="1871"/>
          </w:tcPr>
          <w:p>
            <w:r>
              <w:t>A.8.8</w:t>
            </w:r>
          </w:p>
        </w:tc>
        <w:tc>
          <w:tcPr>
            <w:tcW w:type="dxa" w:w="1871"/>
          </w:tcPr>
          <w:p>
            <w:r>
              <w:t>DSS05.04</w:t>
            </w:r>
          </w:p>
        </w:tc>
      </w:tr>
    </w:tbl>
    <w:sectPr>
      <w:headerReference r:id="rIdHdr1" w:type="default"/>
      <w:footerReference r:id="rIdFtr1" w:type="default"/>
      <w:pgSz w:h="16838" w:w="11906"/>
      <w:pgMar w:bottom="1418" w:footer="709" w:gutter="0" w:header="709" w:left="1276" w:right="1276" w:top="1418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12" w:space="2" w:color="1F4E79"/>
      </w:pBdr>
      <w:tabs>
        <w:tab w:val="right" w:pos="9026"/>
      </w:tabs>
      <w:spacing w:before="60" w:after="0"/>
    </w:pPr>
    <w:r>
      <w:rPr>
        <w:rFonts w:ascii="Arial" w:hAnsi="Arial"/>
        <w:color w:val="1F4E79"/>
        <w:sz w:val="18"/>
      </w:rPr>
      <w:t xml:space="preserve">Dr. Oscar Juan Jimenez Flores</w:t>
    </w:r>
    <w:r>
      <w:tab/>
    </w:r>
    <w:r>
      <w:rPr>
        <w:rFonts w:ascii="Arial" w:hAnsi="Arial"/>
        <w:color w:val="1F4E79"/>
        <w:sz w:val="18"/>
      </w:rPr>
      <w:t>-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Arial" w:hAnsi="Arial"/>
        <w:color w:val="1F4E79"/>
        <w:sz w:val="18"/>
      </w:rPr>
      <w:t> -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12" w:space="2" w:color="1F4E79"/>
      </w:pBdr>
      <w:tabs>
        <w:tab w:val="right" w:pos="9072"/>
      </w:tabs>
      <w:spacing w:after="0"/>
    </w:pPr>
    <w:r>
      <w:drawing>
        <wp:inline distT="0" distB="0" distL="0" distR="0">
          <wp:extent cx="502920" cy="502920"/>
          <wp:effectExtent l="0" t="0" r="0" b="0"/>
          <wp:docPr id="1" name="Imagen 1" descr="Logotipo de la Universidad Privada de Tac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_up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02920" cy="5029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="Arial" w:hAnsi="Arial"/>
        <w:color w:val="1F4E79"/>
        <w:sz w:val="20"/>
      </w:rPr>
      <w:t xml:space="preserve">Escuela Profesional de Ingeniería de Sistemas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2"/>
    </w:rPr>
  </w:style>
  <w:style w:styleId="BodyText" w:type="paragraph">
    <w:name w:val="Body Text"/>
    <w:basedOn w:val="Normal"/>
    <w:link w:val="BodyTextChar"/>
    <w:qFormat/>
    <w:pPr>
      <w:jc w:val="both"/>
      <w:spacing w:after="120" w:before="0"/>
    </w:pPr>
    <w:rPr>
      <w:rFonts w:ascii="Arial" w:cs="Arial" w:eastAsia="Arial" w:hAnsi="Arial"/>
      <w:sz w:val="22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4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Arial" w:hAnsi="Arial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eastAsia="Arial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eastAsia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eastAsia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80"/>
      <w:outlineLvl w:val="0"/>
    </w:pPr>
    <w:rPr>
      <w:rFonts w:ascii="Arial" w:cs="Arial" w:eastAsia="Arial" w:hAnsi="Arial"/>
      <w:b/>
      <w:color w:val="16285C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00"/>
      <w:outlineLvl w:val="1"/>
    </w:pPr>
    <w:rPr>
      <w:rFonts w:ascii="Arial" w:cs="Arial" w:eastAsia="Arial" w:hAnsi="Arial"/>
      <w:b/>
      <w:color w:val="16285C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60"/>
      <w:outlineLvl w:val="2"/>
    </w:pPr>
    <w:rPr>
      <w:rFonts w:ascii="Arial" w:cs="Arial" w:eastAsia="Arial" w:hAnsi="Arial"/>
      <w:b/>
      <w:color w:val="1F4E79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140"/>
      <w:outlineLvl w:val="3"/>
    </w:pPr>
    <w:rPr>
      <w:rFonts w:ascii="Arial" w:cs="Arial" w:eastAsia="Arial" w:hAnsi="Arial"/>
      <w:b/>
      <w:color w:val="1F4E79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eastAsia="Arial" w:hAnsi="Arial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eastAsia="Arial" w:hAnsi="Arial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eastAsia="Arial" w:hAnsi="Arial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eastAsia="Arial" w:hAnsi="Arial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eastAsia="Arial" w:hAnsi="Arial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eastAsia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eastAsia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eastAsia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eastAsia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eastAsia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eastAsia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eastAsia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eastAsia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eastAsia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9AA5B1" w:space="0" w:sz="6" w:val="single"/>
        <w:left w:color="9AA5B1" w:space="0" w:sz="6" w:val="single"/>
        <w:bottom w:color="9AA5B1" w:space="0" w:sz="6" w:val="single"/>
        <w:right w:color="9AA5B1" w:space="0" w:sz="6" w:val="single"/>
        <w:insideH w:color="9AA5B1" w:space="0" w:sz="6" w:val="single"/>
        <w:insideV w:color="9AA5B1" w:space="0" w:sz="6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shd w:color="auto" w:fill="EDF2F8" w:val="clear"/>
        <w:tcBorders>
          <w:bottom w:color="16285C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themeColor="accent1" w:themeShade="BF" w:val="365F91"/>
    </w:rPr>
  </w:style>
  <w:style w:customStyle="1" w:styleId="Centrado" w:type="paragraph">
    <w:name w:val="Centrado"/>
    <w:basedOn w:val="BodyText"/>
    <w:qFormat/>
    <w:pPr>
      <w:jc w:val="center"/>
      <w:spacing w:after="100" w:before="100"/>
    </w:pPr>
    <w:rPr>
      <w:rFonts w:ascii="Arial" w:hAnsi="Arial"/>
    </w:rPr>
  </w:style>
  <w:style w:customStyle="1" w:styleId="TituloCaratula" w:type="paragraph">
    <w:name w:val="TituloCaratula"/>
    <w:basedOn w:val="BodyText"/>
    <w:qFormat/>
    <w:pPr>
      <w:jc w:val="center"/>
      <w:spacing w:after="240" w:before="240"/>
    </w:pPr>
    <w:rPr>
      <w:rFonts w:ascii="Arial" w:hAnsi="Arial"/>
      <w:sz w:val="52"/>
    </w:rPr>
  </w:style>
  <w:style w:customStyle="1" w:styleId="Caratula" w:type="paragraph">
    <w:name w:val="Caratula"/>
    <w:basedOn w:val="BodyText"/>
    <w:qFormat/>
    <w:pPr>
      <w:jc w:val="center"/>
      <w:spacing w:after="80" w:before="0"/>
    </w:pPr>
    <w:rPr>
      <w:rFonts w:ascii="Arial" w:hAnsi="Arial"/>
      <w:sz w:val="22"/>
    </w:rPr>
  </w:style>
  <w:style w:customStyle="1" w:styleId="CaratulaInstitucion" w:type="paragraph">
    <w:name w:val="Caratula Institucion"/>
    <w:basedOn w:val="Caratula"/>
    <w:qFormat/>
    <w:pPr>
      <w:jc w:val="center"/>
      <w:spacing w:after="0" w:before="0"/>
    </w:pPr>
    <w:rPr>
      <w:rFonts w:ascii="Arial" w:hAnsi="Arial"/>
      <w:b/>
      <w:color w:val="16285C"/>
      <w:sz w:val="22"/>
    </w:rPr>
  </w:style>
  <w:style w:customStyle="1" w:styleId="CaratulaTitulo" w:type="paragraph">
    <w:name w:val="Caratula Titulo"/>
    <w:basedOn w:val="Caratula"/>
    <w:qFormat/>
    <w:pPr>
      <w:jc w:val="center"/>
      <w:spacing w:after="60" w:before="420"/>
      <w:pBdr>
        <w:top w:color="16285C" w:space="8" w:sz="8" w:val="single"/>
        <w:bottom w:color="16285C" w:space="8" w:sz="8" w:val="single"/>
      </w:pBdr>
    </w:pPr>
    <w:rPr>
      <w:rFonts w:ascii="Arial" w:hAnsi="Arial"/>
      <w:b/>
      <w:color w:val="16285C"/>
      <w:sz w:val="30"/>
    </w:rPr>
  </w:style>
  <w:style w:customStyle="1" w:styleId="CaratulaCurso" w:type="paragraph">
    <w:name w:val="Caratula Curso"/>
    <w:basedOn w:val="Caratula"/>
    <w:qFormat/>
    <w:pPr>
      <w:jc w:val="center"/>
      <w:spacing w:after="360" w:before="120"/>
    </w:pPr>
    <w:rPr>
      <w:rFonts w:ascii="Arial" w:hAnsi="Arial"/>
      <w:b/>
      <w:sz w:val="24"/>
    </w:rPr>
  </w:style>
  <w:style w:customStyle="1" w:styleId="CaratulaCampo" w:type="paragraph">
    <w:name w:val="Caratula Campo"/>
    <w:basedOn w:val="Caratula"/>
    <w:qFormat/>
    <w:pPr>
      <w:jc w:val="center"/>
      <w:spacing w:after="200" w:before="0"/>
    </w:pPr>
    <w:rPr>
      <w:rFonts w:ascii="Arial" w:hAnsi="Arial"/>
      <w:sz w:val="22"/>
    </w:rPr>
  </w:style>
  <w:style w:customStyle="1" w:styleId="Instruccion" w:type="paragraph">
    <w:name w:val="Instruccion"/>
    <w:basedOn w:val="BodyText"/>
    <w:qFormat/>
    <w:pPr>
      <w:spacing w:after="100" w:before="0"/>
    </w:pPr>
    <w:rPr>
      <w:rFonts w:ascii="Arial" w:hAnsi="Arial"/>
      <w:i/>
      <w:color w:val="5B6B7C"/>
      <w:sz w:val="20"/>
    </w:rPr>
  </w:style>
  <w:style w:customStyle="1" w:styleId="CaratulaEtiqueta" w:type="paragraph">
    <w:name w:val="Caratula Etiqueta"/>
    <w:basedOn w:val="Caratula"/>
    <w:qFormat/>
    <w:pPr>
      <w:jc w:val="center"/>
      <w:spacing w:after="0" w:before="260"/>
    </w:pPr>
    <w:rPr>
      <w:rFonts w:ascii="Arial" w:hAnsi="Arial"/>
      <w:b/>
      <w:caps/>
      <w:color w:val="16285C"/>
      <w:sz w:val="20"/>
    </w:rPr>
  </w:style>
  <w:style w:customStyle="1" w:styleId="CaratulaLinea" w:type="paragraph">
    <w:name w:val="Caratula Linea"/>
    <w:basedOn w:val="Caratula"/>
    <w:qFormat/>
    <w:pPr>
      <w:jc w:val="center"/>
      <w:spacing w:after="0" w:before="0" w:line="320" w:lineRule="auto"/>
    </w:pPr>
    <w:rPr>
      <w:rFonts w:ascii="Arial" w:hAnsi="Arial"/>
      <w:sz w:val="22"/>
    </w:rPr>
  </w:style>
  <w:style w:customStyle="1" w:styleId="CaratulaPie" w:type="paragraph">
    <w:name w:val="Caratula Pie"/>
    <w:basedOn w:val="Caratula"/>
    <w:qFormat/>
    <w:pPr>
      <w:jc w:val="center"/>
      <w:spacing w:after="0" w:before="2400"/>
    </w:pPr>
    <w:rPr>
      <w:rFonts w:ascii="Arial" w:hAnsi="Arial"/>
      <w:sz w:val="22"/>
    </w:rPr>
  </w:style>
  <w:style w:type="paragraph" w:customStyle="1" w:styleId="CaratulaCurso">
    <w:name w:val="CaratulaCurso"/>
    <w:basedOn w:val="BodyText"/>
    <w:qFormat/>
  </w:style>
  <w:style w:type="paragraph" w:customStyle="1" w:styleId="CaratulaEtiqueta">
    <w:name w:val="CaratulaEtiqueta"/>
    <w:basedOn w:val="BodyText"/>
    <w:qFormat/>
  </w:style>
  <w:style w:type="paragraph" w:customStyle="1" w:styleId="CaratulaInstitucion">
    <w:name w:val="CaratulaInstitucion"/>
    <w:basedOn w:val="BodyText"/>
    <w:qFormat/>
  </w:style>
  <w:style w:type="paragraph" w:customStyle="1" w:styleId="CaratulaLinea">
    <w:name w:val="CaratulaLinea"/>
    <w:basedOn w:val="BodyText"/>
    <w:qFormat/>
  </w:style>
  <w:style w:type="paragraph" w:customStyle="1" w:styleId="CaratulaPie">
    <w:name w:val="CaratulaPie"/>
    <w:basedOn w:val="BodyText"/>
    <w:qFormat/>
  </w:style>
  <w:style w:type="paragraph" w:customStyle="1" w:styleId="CaratulaTitulo">
    <w:name w:val="CaratulaTitulo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Hdr1" Type="http://schemas.openxmlformats.org/officeDocument/2006/relationships/header" Target="header1.xml"/><Relationship Id="rIdFtr1" Type="http://schemas.openxmlformats.org/officeDocument/2006/relationships/footer" Target="footer1.xml"/><Relationship Id="rId12" Type="http://schemas.openxmlformats.org/officeDocument/2006/relationships/image" Target="media/rId12.jpg"/><Relationship Id="rId9" Type="http://schemas.openxmlformats.org/officeDocument/2006/relationships/image" Target="media/rId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_upt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2026-08-27T20:08:59Z</dcterms:created>
  <dcterms:modified xsi:type="dcterms:W3CDTF">2026-08-27T20:08:59Z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