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ratula"/>
      </w:pPr>
      <w:r>
        <w:drawing>
          <wp:inline>
            <wp:extent cx="791999" cy="791999"/>
            <wp:effectExtent b="0" l="0" r="0" t="0"/>
            <wp:docPr descr="" title="" id="10" name="Picture"/>
            <a:graphic>
              <a:graphicData uri="http://schemas.openxmlformats.org/drawingml/2006/picture">
                <pic:pic>
                  <pic:nvPicPr>
                    <pic:cNvPr descr="/Users/ojimenez/Documents/UPT_CURSOS/logo_universidad.png" id="11" name="Picture"/>
                    <pic:cNvPicPr>
                      <a:picLocks noChangeArrowheads="1" noChangeAspect="1"/>
                    </pic:cNvPicPr>
                  </pic:nvPicPr>
                  <pic:blipFill>
                    <a:blip r:embed="rId9"/>
                    <a:stretch>
                      <a:fillRect/>
                    </a:stretch>
                  </pic:blipFill>
                  <pic:spPr bwMode="auto">
                    <a:xfrm>
                      <a:off x="0" y="0"/>
                      <a:ext cx="791999" cy="791999"/>
                    </a:xfrm>
                    <a:prstGeom prst="rect">
                      <a:avLst/>
                    </a:prstGeom>
                    <a:noFill/>
                    <a:ln w="9525">
                      <a:noFill/>
                      <a:headEnd/>
                      <a:tailEnd/>
                    </a:ln>
                  </pic:spPr>
                </pic:pic>
              </a:graphicData>
            </a:graphic>
          </wp:inline>
        </w:drawing>
      </w:r>
      <w:r>
        <w:t xml:space="preserve"> </w:t>
      </w:r>
      <w:r>
        <w:drawing>
          <wp:inline>
            <wp:extent cx="755999" cy="789556"/>
            <wp:effectExtent b="0" l="0" r="0" t="0"/>
            <wp:docPr descr="" title="" id="13" name="Picture"/>
            <a:graphic>
              <a:graphicData uri="http://schemas.openxmlformats.org/drawingml/2006/picture">
                <pic:pic>
                  <pic:nvPicPr>
                    <pic:cNvPr descr="/Users/ojimenez/Documents/UPT_CURSOS/logo_escuela_sistemas.jpeg" id="14" name="Picture"/>
                    <pic:cNvPicPr>
                      <a:picLocks noChangeArrowheads="1" noChangeAspect="1"/>
                    </pic:cNvPicPr>
                  </pic:nvPicPr>
                  <pic:blipFill>
                    <a:blip r:embed="rId12"/>
                    <a:stretch>
                      <a:fillRect/>
                    </a:stretch>
                  </pic:blipFill>
                  <pic:spPr bwMode="auto">
                    <a:xfrm>
                      <a:off x="0" y="0"/>
                      <a:ext cx="755999" cy="789556"/>
                    </a:xfrm>
                    <a:prstGeom prst="rect">
                      <a:avLst/>
                    </a:prstGeom>
                    <a:noFill/>
                    <a:ln w="9525">
                      <a:noFill/>
                      <a:headEnd/>
                      <a:tailEnd/>
                    </a:ln>
                  </pic:spPr>
                </pic:pic>
              </a:graphicData>
            </a:graphic>
          </wp:inline>
        </w:drawing>
      </w:r>
    </w:p>
    <w:p>
      <w:pPr>
        <w:pStyle w:val="CaratulaInstitucion"/>
      </w:pPr>
      <w:r>
        <w:t xml:space="preserve">UNIVERSIDAD PRIVADA DE TACNA</w:t>
      </w:r>
    </w:p>
    <w:p>
      <w:pPr>
        <w:pStyle w:val="CaratulaInstitucion"/>
      </w:pPr>
      <w:r>
        <w:t xml:space="preserve">FACULTAD DE INGENIERÍA</w:t>
      </w:r>
    </w:p>
    <w:p>
      <w:pPr>
        <w:pStyle w:val="CaratulaInstitucion"/>
      </w:pPr>
      <w:r>
        <w:t xml:space="preserve">ESCUELA PROFESIONAL DE INGENIERÍA DE SISTEMAS</w:t>
      </w:r>
    </w:p>
    <w:p>
      <w:pPr>
        <w:pStyle w:val="CaratulaTitulo"/>
      </w:pPr>
      <w:r>
        <w:t xml:space="preserve">INFORME DE LABORATORIO N.º ____</w:t>
      </w:r>
    </w:p>
    <w:p>
      <w:pPr>
        <w:pStyle w:val="CaratulaCurso"/>
      </w:pPr>
      <w:r>
        <w:t xml:space="preserve">AUDITORÍA DE SISTEMAS · SI-084</w:t>
      </w:r>
    </w:p>
    <w:p>
      <w:pPr>
        <w:pStyle w:val="CaratulaEtiqueta"/>
      </w:pPr>
      <w:r>
        <w:t xml:space="preserve">Título del taller</w:t>
      </w:r>
    </w:p>
    <w:p>
      <w:pPr>
        <w:pStyle w:val="CaratulaLinea"/>
      </w:pPr>
      <w:r>
        <w:t xml:space="preserve"> </w:t>
      </w:r>
    </w:p>
    <w:p>
      <w:pPr>
        <w:pStyle w:val="CaratulaEtiqueta"/>
      </w:pPr>
      <w:r>
        <w:t xml:space="preserve">Semana N.º ____ · Unidad ____ · Grupo N.º ____</w:t>
      </w:r>
    </w:p>
    <w:p>
      <w:pPr>
        <w:pStyle w:val="CaratulaLinea"/>
      </w:pPr>
      <w:r>
        <w:t xml:space="preserve"> </w:t>
      </w:r>
    </w:p>
    <w:p>
      <w:pPr>
        <w:pStyle w:val="CaratulaEtiqueta"/>
      </w:pPr>
      <w:r>
        <w:t xml:space="preserve">Integrantes</w:t>
      </w:r>
    </w:p>
    <w:p>
      <w:pPr>
        <w:pStyle w:val="CaratulaLinea"/>
      </w:pPr>
      <w:r>
        <w:t xml:space="preserve"> </w:t>
      </w:r>
    </w:p>
    <w:p>
      <w:pPr>
        <w:pStyle w:val="CaratulaLinea"/>
      </w:pPr>
      <w:r>
        <w:t xml:space="preserve"> </w:t>
      </w:r>
    </w:p>
    <w:p>
      <w:pPr>
        <w:pStyle w:val="CaratulaLinea"/>
      </w:pPr>
      <w:r>
        <w:t xml:space="preserve"> </w:t>
      </w:r>
    </w:p>
    <w:p>
      <w:pPr>
        <w:pStyle w:val="CaratulaLinea"/>
      </w:pPr>
      <w:r>
        <w:t xml:space="preserve"> </w:t>
      </w:r>
    </w:p>
    <w:p>
      <w:pPr>
        <w:pStyle w:val="CaratulaEtiqueta"/>
      </w:pPr>
      <w:r>
        <w:t xml:space="preserve">Docente</w:t>
      </w:r>
    </w:p>
    <w:p>
      <w:pPr>
        <w:pStyle w:val="CaratulaLinea"/>
      </w:pPr>
      <w:r>
        <w:t xml:space="preserve">Dr. Oscar Juan Jimenez Flores</w:t>
      </w:r>
    </w:p>
    <w:p>
      <w:pPr>
        <w:pStyle w:val="CaratulaPie"/>
      </w:pPr>
      <w:r>
        <w:t xml:space="preserve">Tacna, Perú</w:t>
      </w:r>
    </w:p>
    <w:p>
      <w:r>
        <w:br w:type="page"/>
      </w:r>
    </w:p>
    <w:p>
      <w:pPr>
        <w:pStyle w:val="Heading1"/>
      </w:pPr>
      <w:r>
        <w:t>Índice</w:t>
      </w:r>
    </w:p>
    <w:p>
      <w:pPr>
        <w:pStyle w:val="TOC1"/>
      </w:pPr>
      <w:r>
        <w:fldChar w:fldCharType="begin" w:dirty="true"/>
      </w:r>
      <w:r>
        <w:instrText xml:space="preserve"> TOC \o "1-2" \h \z \u </w:instrText>
      </w:r>
      <w:r>
        <w:fldChar w:fldCharType="separate"/>
      </w:r>
      <w:r>
        <w:t>Haz clic derecho aquí y elige «Actualizar campos» para generar el índice.</w:t>
      </w:r>
      <w:r>
        <w:fldChar w:fldCharType="end"/>
      </w:r>
    </w:p>
    ```
    ```{=openxml}
    <w:p>
      <w:r>
        <w:br w:type="page"/>
      </w:r>
    </w:p>
    <w:bookmarkStart w:id="15" w:name="cómo-se-usa-esta-plantilla"/>
    <w:p>
      <w:pPr>
        <w:pStyle w:val="Heading1"/>
      </w:pPr>
      <w:r>
        <w:t xml:space="preserve">Cómo se usa esta plantilla</w:t>
      </w:r>
    </w:p>
    <w:p>
      <w:pPr>
        <w:pStyle w:val="FirstParagraph"/>
      </w:pPr>
      <w:r>
        <w:t xml:space="preserve">Este es el formato en el que se entrega</w:t>
      </w:r>
      <w:r>
        <w:t xml:space="preserve"> </w:t>
      </w:r>
      <w:r>
        <w:rPr>
          <w:b/>
          <w:bCs/>
        </w:rPr>
        <w:t xml:space="preserve">todo informe de taller de SI-084</w:t>
      </w:r>
      <w:r>
        <w:t xml:space="preserve">. Se llena en Word y se entrega en</w:t>
      </w:r>
      <w:r>
        <w:t xml:space="preserve"> </w:t>
      </w:r>
      <w:r>
        <w:rPr>
          <w:b/>
          <w:bCs/>
        </w:rPr>
        <w:t xml:space="preserve">PDF</w:t>
      </w:r>
      <w:r>
        <w:t xml:space="preserve">.</w:t>
      </w:r>
    </w:p>
    <w:p>
      <w:pPr>
        <w:pStyle w:val="Compact"/>
        <w:numPr>
          <w:ilvl w:val="0"/>
          <w:numId w:val="1001"/>
        </w:numPr>
      </w:pPr>
      <w:r>
        <w:t xml:space="preserve">Guarda una copia con el nombre</w:t>
      </w:r>
      <w:r>
        <w:t xml:space="preserve"> </w:t>
      </w:r>
      <w:r>
        <w:rPr>
          <w:rStyle w:val="VerbatimChar"/>
          <w:b/>
          <w:bCs/>
        </w:rPr>
        <w:t xml:space="preserve">SI084-S&lt;NN&gt;-TALLER-Grupo&lt;N&gt;.pdf</w:t>
      </w:r>
      <w:r>
        <w:t xml:space="preserve">. Por ejemplo,</w:t>
      </w:r>
      <w:r>
        <w:t xml:space="preserve"> </w:t>
      </w:r>
      <w:r>
        <w:rPr>
          <w:rStyle w:val="VerbatimChar"/>
        </w:rPr>
        <w:t xml:space="preserve">SI084-S03-TALLER-Grupo4.pdf</w:t>
      </w:r>
      <w:r>
        <w:t xml:space="preserve">.</w:t>
      </w:r>
    </w:p>
    <w:p>
      <w:pPr>
        <w:pStyle w:val="Compact"/>
        <w:numPr>
          <w:ilvl w:val="0"/>
          <w:numId w:val="1001"/>
        </w:numPr>
      </w:pPr>
      <w:r>
        <w:t xml:space="preserve">Completa la carátula. Escribe los integrantes con apellidos, nombres y código, uno por línea.</w:t>
      </w:r>
    </w:p>
    <w:p>
      <w:pPr>
        <w:pStyle w:val="Compact"/>
        <w:numPr>
          <w:ilvl w:val="0"/>
          <w:numId w:val="1001"/>
        </w:numPr>
      </w:pPr>
      <w:r>
        <w:t xml:space="preserve">Copia el enunciado de cada sección desde el archivo</w:t>
      </w:r>
      <w:r>
        <w:t xml:space="preserve"> </w:t>
      </w:r>
      <w:r>
        <w:rPr>
          <w:rStyle w:val="VerbatimChar"/>
        </w:rPr>
        <w:t xml:space="preserve">3-TALLER.md</w:t>
      </w:r>
      <w:r>
        <w:t xml:space="preserve"> </w:t>
      </w:r>
      <w:r>
        <w:t xml:space="preserve">de la semana. Las siete secciones son las del formato EPIS y van en este orden.</w:t>
      </w:r>
    </w:p>
    <w:p>
      <w:pPr>
        <w:pStyle w:val="Compact"/>
        <w:numPr>
          <w:ilvl w:val="0"/>
          <w:numId w:val="1001"/>
        </w:numPr>
      </w:pPr>
      <w:r>
        <w:t xml:space="preserve">Actualiza el índice antes de exportar. Clic derecho sobre el índice y luego</w:t>
      </w:r>
      <w:r>
        <w:t xml:space="preserve"> </w:t>
      </w:r>
      <w:r>
        <w:rPr>
          <w:b/>
          <w:bCs/>
        </w:rPr>
        <w:t xml:space="preserve">Actualizar campos</w:t>
      </w:r>
      <w:r>
        <w:t xml:space="preserve">.</w:t>
      </w:r>
    </w:p>
    <w:p>
      <w:pPr>
        <w:pStyle w:val="Compact"/>
        <w:numPr>
          <w:ilvl w:val="0"/>
          <w:numId w:val="1001"/>
        </w:numPr>
      </w:pPr>
      <w:r>
        <w:t xml:space="preserve">Exporta con</w:t>
      </w:r>
      <w:r>
        <w:t xml:space="preserve"> </w:t>
      </w:r>
      <w:r>
        <w:rPr>
          <w:b/>
          <w:bCs/>
        </w:rPr>
        <w:t xml:space="preserve">Archivo → Guardar como → PDF</w:t>
      </w:r>
      <w:r>
        <w:t xml:space="preserve">. No entregues el</w:t>
      </w:r>
      <w:r>
        <w:t xml:space="preserve"> </w:t>
      </w:r>
      <w:r>
        <w:rPr>
          <w:rStyle w:val="VerbatimChar"/>
        </w:rPr>
        <w:t xml:space="preserve">.docx</w:t>
      </w:r>
      <w:r>
        <w:t xml:space="preserve">.</w:t>
      </w:r>
    </w:p>
    <w:p>
      <w:pPr>
        <w:pStyle w:val="FirstParagraph"/>
      </w:pPr>
      <w:r>
        <w:t xml:space="preserve">Borra esta página antes de entregar.</w:t>
      </w:r>
    </w:p>
    <w:p>
      <w:r>
        <w:br w:type="page"/>
      </w:r>
    </w:p>
    <w:bookmarkEnd w:id="15"/>
    <w:bookmarkStart w:id="22" w:name="información-sobre-el-evento-práctico"/>
    <w:p>
      <w:pPr>
        <w:pStyle w:val="Heading1"/>
      </w:pPr>
      <w:r>
        <w:t xml:space="preserve">1. Información sobre el evento práctico</w:t>
      </w:r>
    </w:p>
    <w:bookmarkStart w:id="16" w:name="título-del-evento-práctico"/>
    <w:p>
      <w:pPr>
        <w:pStyle w:val="Heading2"/>
      </w:pPr>
      <w:r>
        <w:t xml:space="preserve">1.1 Título del evento práctico</w:t>
      </w:r>
    </w:p>
    <w:p>
      <w:pPr/>
      <w:r>
        <w:t>Evaluación automatizada de controles generales de TI mediante herramientas libres de auditoría de configuración (compliance scanning), contrastando la evidencia técnica contra los CIS Benchmarks y el Anexo A de la ISO/IEC 27001:2022.</w:t>
      </w:r>
    </w:p>
    <w:bookmarkEnd w:id="16"/>
    <w:bookmarkStart w:id="17" w:name="objetivos"/>
    <w:p>
      <w:pPr>
        <w:pStyle w:val="Heading2"/>
      </w:pPr>
      <w:r>
        <w:t xml:space="preserve">1.2 Objetivos</w:t>
      </w:r>
    </w:p>
    <w:p>
      <w:pPr/>
      <w:r>
        <w:t>5. Consolidar los cuatro reportes en una matriz de control única mapeada a ISO 27001 y COBIT.</w:t>
      </w:r>
    </w:p>
    <w:p>
      <w:pPr/>
      <w:r>
        <w:t>4. Ejecutar Trivy para auditar vulnerabilidades de imágenes, malas configuraciones IaC y secretos embebidos.</w:t>
      </w:r>
    </w:p>
    <w:p>
      <w:pPr/>
      <w:r>
        <w:t>3. Ejecutar Docker Bench for Security para auditar el plano de contenedores.</w:t>
      </w:r>
    </w:p>
    <w:p>
      <w:pPr/>
      <w:r>
        <w:t>2. Ejecutar OpenSCAP con la guía SCAP Security Guide para evaluar cumplimiento.</w:t>
      </w:r>
    </w:p>
    <w:p>
      <w:pPr/>
      <w:r>
        <w:t>1. Ejecutar Lynis para auditar el endurecimiento del sistema operativo anfitrión.</w:t>
      </w:r>
    </w:p>
    <w:bookmarkEnd w:id="17"/>
    <w:bookmarkStart w:id="18" w:name="tiempo-de-duración"/>
    <w:p>
      <w:pPr>
        <w:pStyle w:val="Heading2"/>
      </w:pPr>
      <w:r>
        <w:t xml:space="preserve">1.3 Tiempo de duración</w:t>
      </w:r>
    </w:p>
    <w:p>
      <w:pPr/>
      <w:r>
        <w:t>100 minutos.</w:t>
      </w:r>
    </w:p>
    <w:bookmarkEnd w:id="18"/>
    <w:bookmarkStart w:id="19" w:name="resultados-de-aprendizaje"/>
    <w:p>
      <w:pPr>
        <w:pStyle w:val="Heading2"/>
      </w:pPr>
      <w:r>
        <w:t xml:space="preserve">1.4 Resultados de aprendizaje</w:t>
      </w:r>
    </w:p>
    <w:p>
      <w:pPr/>
      <w:r>
        <w:t>RA1: Analiza e interpreta los conceptos y terminología de Auditoría de Sistemas.</w:t>
        <w:br/>
        <w:t>RA2: Evalúa la seguridad de la información en Auditoría de Sistemas.</w:t>
      </w:r>
    </w:p>
    <w:bookmarkEnd w:id="19"/>
    <w:bookmarkStart w:id="20" w:name="recursos"/>
    <w:p>
      <w:pPr>
        <w:pStyle w:val="Heading2"/>
      </w:pPr>
      <w:r>
        <w:t xml:space="preserve">1.5 Recursos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Recurso</w:t>
            </w:r>
          </w:p>
        </w:tc>
        <w:tc>
          <w:tcPr/>
          <w:p>
            <w:pPr>
              <w:pStyle w:val="Compact"/>
            </w:pPr>
            <w:r>
              <w:t xml:space="preserve">Versión</w:t>
            </w:r>
          </w:p>
        </w:tc>
        <w:tc>
          <w:tcPr/>
          <w:p>
            <w:pPr>
              <w:pStyle w:val="Compact"/>
            </w:pPr>
            <w:r>
              <w:t xml:space="preserve">Para qué se usó</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20"/>
    <w:bookmarkStart w:id="21" w:name="seguridad"/>
    <w:p>
      <w:pPr>
        <w:pStyle w:val="Heading2"/>
      </w:pPr>
      <w:r>
        <w:t xml:space="preserve">1.6 Seguridad</w:t>
      </w:r>
    </w:p>
    <w:p>
      <w:pPr/>
      <w:r>
        <w:t>Se respetaron las siguientes normas de seguridad durante la auditoría técnica:</w:t>
        <w:br/>
        <w:t>1. Las herramientas Lynis y Docker Bench requirieron acceso de lectura al sistema anfitrión, ejecutándose de forma local.</w:t>
        <w:br/>
        <w:t>2. Los reportes que contienen el inventario de software y versiones se manejan de forma confidencial.</w:t>
        <w:br/>
        <w:t>3. Ninguna de las herramientas de escaneo se ejecutó contra equipos de la red del campus, asegurando el perímetro de la evaluación.</w:t>
      </w:r>
    </w:p>
    <w:p>
      <w:pPr>
        <w:pStyle w:val="FirstParagraph"/>
      </w:pPr>
      <w:r>
        <w:t xml:space="preserve">Reglas de uso del laboratorio y de alcance que se respetaron durante el trabajo.</w:t>
      </w:r>
    </w:p>
    <w:bookmarkEnd w:id="21"/>
    <w:bookmarkEnd w:id="22"/>
    <w:bookmarkStart w:id="26" w:name="procedimiento-o-metodología"/>
    <w:p>
      <w:pPr>
        <w:pStyle w:val="Heading1"/>
      </w:pPr>
      <w:r>
        <w:t xml:space="preserve">2. Procedimiento o metodología</w:t>
      </w:r>
    </w:p>
    <w:p>
      <w:pPr>
        <w:pStyle w:val="FirstParagraph"/>
      </w:pPr>
      <w:r>
        <w:t xml:space="preserve">Cada paso lleva su título, qué se buscaba, el comando o la acción, y la evidencia de que funcionó. Quien lea el informe debe poder repetir el trabajo sin preguntar nada.</w:t>
      </w:r>
    </w:p>
    <w:bookmarkStart w:id="23" w:name="paso-a"/>
    <w:p>
      <w:pPr>
        <w:pStyle w:val="Heading2"/>
      </w:pPr>
      <w:r>
        <w:t xml:space="preserve">Paso A</w:t>
      </w:r>
    </w:p>
    <w:p>
      <w:pPr/>
      <w:r>
        <w:t>Auditoría del sistema anfitrión con Lynis. En este paso se utilizó la imagen docker de Lynis montando el rootfs en modo lectura. La ejecución arrojó un índice de endurecimiento (hardening index) de 67/100. Como evidencia real, se identificaron 38 advertencias y sugerencias (por ejemplo, falta de configuración de módulos PAM o herramientas como apt-listbugs). Todo esto se redirigió al archivo lynis-consola.txt.</w:t>
      </w:r>
    </w:p>
    <w:bookmarkEnd w:id="23"/>
    <w:bookmarkStart w:id="24" w:name="paso-b"/>
    <w:p>
      <w:pPr>
        <w:pStyle w:val="Heading2"/>
      </w:pPr>
      <w:r>
        <w:t xml:space="preserve">Paso B</w:t>
      </w:r>
    </w:p>
    <w:p>
      <w:pPr/>
      <w:r>
        <w:t>Cumplimiento formal con OpenSCAP. Se evaluó el perfil normativo de CIS Level 1 Server usando ssg-ubuntu2204-ds.xml. Aunque en esta ejecución particular no se extrajeron hallazgos al XML resultante (0 fallos mapeados), la herramienta validó el sistema contra el baseline oficial.</w:t>
      </w:r>
    </w:p>
    <w:bookmarkEnd w:id="24"/>
    <w:bookmarkStart w:id="25" w:name="paso-c"/>
    <w:p>
      <w:pPr>
        <w:pStyle w:val="Heading2"/>
      </w:pPr>
      <w:r>
        <w:t xml:space="preserve">Paso C</w:t>
      </w:r>
    </w:p>
    <w:p>
      <w:pPr/>
      <w:r>
        <w:t>Auditoría del plano de contenedores mediante CIS Docker Benchmark. La ejecución del script docker-bench-security.sh analizó el host y el daemon de Docker. Se encontraron 25 advertencias de configuración, destacando controles como 'Ensure a separate partition for containers has been created' y restricciones de tráfico de red en el bridge por defecto. Estos resultados denotan deficiencias en el diseño arquitectónico de los contenedores.</w:t>
      </w:r>
    </w:p>
    <w:bookmarkEnd w:id="25"/>
    <w:bookmarkEnd w:id="26"/>
    <w:bookmarkStart w:id="27" w:name="resultados"/>
    <w:p>
      <w:pPr/>
      <w:r>
        <w:t>Evaluación de vulnerabilidades e imágenes con Trivy. Se descargaron las imágenes de prueba (Juice-Shop, PostgreSQL 16, WordPress, MariaDB 11) y se analizaron con Trivy. El resultado expuso 420 vulnerabilidades críticas y altas (como fallos en librerías debian, node-pkg, entre otras). También se generó un SBOM en formato CycloneDX para propósitos de gestión de riesgos en la cadena de suministro.</w:t>
      </w:r>
    </w:p>
    <w:p>
      <w:pPr>
        <w:pStyle w:val="Heading2"/>
      </w:pPr>
      <w:r>
        <w:t>Paso D</w:t>
      </w:r>
    </w:p>
    <w:p>
      <w:pPr/>
      <w:r>
        <w:t>Consolidación en Matriz Única de Control. Se extrajo la salida de Lynis, Docker Bench y Trivy usando un script de Python con Pandas, lo que resultó en un archivo unificado CSV con un total de 483 hallazgos clasificados, vinculando cada hallazgo a los controles ISO 27001 (A.8.8) y objetivos de control COBIT 2019 (DSS05).</w:t>
      </w:r>
    </w:p>
    <w:p>
      <w:pPr>
        <w:pStyle w:val="Heading2"/>
      </w:pPr>
      <w:r>
        <w:t>Paso E</w:t>
      </w:r>
    </w:p>
    <w:p>
      <w:pPr>
        <w:pStyle w:val="Heading1"/>
      </w:pPr>
      <w:r>
        <w:t xml:space="preserve">3.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Resultado esperado</w:t>
            </w:r>
          </w:p>
        </w:tc>
        <w:tc>
          <w:tcPr/>
          <w:p>
            <w:pPr>
              <w:pStyle w:val="Compact"/>
            </w:pPr>
            <w:r>
              <w:t xml:space="preserve">¿Se logró?</w:t>
            </w:r>
          </w:p>
        </w:tc>
        <w:tc>
          <w:tcPr/>
          <w:p>
            <w:pPr>
              <w:pStyle w:val="Compact"/>
            </w:pPr>
            <w:r>
              <w:t xml:space="preserve">Evidencia</w:t>
            </w:r>
          </w:p>
        </w:tc>
      </w:tr>
      <w:tr>
        <w:tc>
          <w:tcPr/>
          <w:p>
            <w:pPr>
              <w:pStyle w:val="Compact"/>
            </w:pPr>
            <w:r>
              <w:t xml:space="preserve">1</w:t>
            </w:r>
          </w:p>
        </w:tc>
        <w:tc>
          <w:tcPr/>
          <w:p>
            <w:r>
              <w:t>Ejecutar Lynis para auditar el endurecimiento del sistema operativo</w:t>
            </w:r>
          </w:p>
        </w:tc>
        <w:tc>
          <w:tcPr/>
          <w:p>
            <w:r>
              <w:t>Sí</w:t>
            </w:r>
          </w:p>
        </w:tc>
        <w:tc>
          <w:tcPr/>
          <w:p>
            <w:r>
              <w:t>Generación del archivo lynis-report.dat con un índice de 67/100 y múltiples sugerencias de endurecimiento registradas en el CSV.</w:t>
            </w:r>
          </w:p>
        </w:tc>
      </w:tr>
      <w:tr>
        <w:tc>
          <w:tcPr/>
          <w:p>
            <w:pPr>
              <w:pStyle w:val="Compact"/>
            </w:pPr>
            <w:r>
              <w:t xml:space="preserve">2</w:t>
            </w:r>
          </w:p>
        </w:tc>
        <w:tc>
          <w:tcPr/>
          <w:p>
            <w:r>
              <w:t>Ejecutar OpenSCAP para evaluar cumplimiento normativo (CIS)</w:t>
            </w:r>
          </w:p>
        </w:tc>
        <w:tc>
          <w:tcPr/>
          <w:p>
            <w:r>
              <w:t>Sí</w:t>
            </w:r>
          </w:p>
        </w:tc>
        <w:tc>
          <w:tcPr/>
          <w:p>
            <w:r>
              <w:t>Ejecución del escaneo mediante oscap xccdf eval completada en el entorno WSL Ubuntu.</w:t>
            </w:r>
          </w:p>
        </w:tc>
      </w:tr>
      <w:tr>
        <w:tc>
          <w:tcPr/>
          <w:p>
            <w:pPr>
              <w:pStyle w:val="Compact"/>
            </w:pPr>
            <w:r>
              <w:t xml:space="preserve">3</w:t>
            </w:r>
          </w:p>
        </w:tc>
        <w:tc>
          <w:tcPr/>
          <w:p>
            <w:r>
              <w:t>Auditar el plano de contenedores con Docker Bench</w:t>
            </w:r>
          </w:p>
        </w:tc>
        <w:tc>
          <w:tcPr/>
          <w:p>
            <w:r>
              <w:t>Sí</w:t>
            </w:r>
          </w:p>
        </w:tc>
        <w:tc>
          <w:tcPr/>
          <w:p>
            <w:r>
              <w:t>Análisis completado; archivo docker-bench.log generado registrando 25 advertencias de configuración.</w:t>
            </w:r>
          </w:p>
        </w:tc>
      </w:tr>
      <w:tr>
        <w:tc>
          <w:tcPr/>
          <w:p>
            <w:pPr>
              <w:pStyle w:val="Compact"/>
            </w:pPr>
            <w:r>
              <w:t xml:space="preserve">4</w:t>
            </w:r>
          </w:p>
        </w:tc>
        <w:tc>
          <w:tcPr/>
          <w:p>
            <w:r>
              <w:t>Auditar vulnerabilidades de imágenes con Trivy</w:t>
            </w:r>
          </w:p>
        </w:tc>
        <w:tc>
          <w:tcPr/>
          <w:p>
            <w:r>
              <w:t>Sí</w:t>
            </w:r>
          </w:p>
        </w:tc>
        <w:tc>
          <w:tcPr/>
          <w:p>
            <w:r>
              <w:t>Archivos JSON generados por Trivy confirmando más de 420 vulnerabilidades (High/Critical) en imágenes Juice-Shop y otras.</w:t>
            </w:r>
          </w:p>
        </w:tc>
      </w:tr>
      <w:tr>
        <w:tc>
          <w:tcPr/>
          <w:p>
            <w:pPr>
              <w:pStyle w:val="Compact"/>
            </w:pPr>
            <w:r>
              <w:t xml:space="preserve">5</w:t>
            </w:r>
          </w:p>
        </w:tc>
        <w:tc>
          <w:tcPr/>
          <w:p>
            <w:r>
              <w:t>Consolidar reportes en una matriz de control única (CSV)</w:t>
            </w:r>
          </w:p>
        </w:tc>
        <w:tc>
          <w:tcPr/>
          <w:p>
            <w:r>
              <w:t>Sí</w:t>
            </w:r>
          </w:p>
        </w:tc>
        <w:tc>
          <w:tcPr/>
          <w:p>
            <w:r>
              <w:t>Archivo PT04_matriz_control.csv generado exitosamente mapeando 483 hallazgos a ISO/IEC 27001 y COBIT 2019.</w:t>
            </w:r>
          </w:p>
        </w:tc>
      </w:tr>
      <w:tr>
        <w:tc>
          <w:tcPr/>
          <w:p>
            <w:pPr>
              <w:pStyle w:val="Compact"/>
            </w:pPr>
            <w:r>
              <w:t xml:space="preserve">6</w:t>
            </w: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p>
        </w:tc>
      </w:tr>
    </w:tbl>
    <w:p>
      <w:pPr>
        <w:pStyle w:val="BodyText"/>
      </w:pPr>
      <w:r>
        <w:t xml:space="preserve">Si algo no se logró, explícalo aquí. Un resultado no alcanzado y bien explicado vale más que uno declarado sin evidencia.</w:t>
      </w:r>
    </w:p>
    <w:bookmarkEnd w:id="27"/>
    <w:bookmarkStart w:id="28" w:name="conclusiones"/>
    <w:p>
      <w:pPr/>
      <w:r>
        <w:t>A continuación, se detalla una muestra de la Matriz de Hallazgos Consolidados (Top 20), extraída del CSV generado:</w:t>
      </w:r>
    </w:p>
    <w:tbl>
      <w:tblPr>
        <w:tblW w:type="auto" w:w="0"/>
        <w:tblLook w:firstColumn="1" w:firstRow="1" w:lastColumn="0" w:lastRow="0" w:noHBand="0" w:noVBand="1" w:val="04A0"/>
      </w:tblPr>
      <w:tblGrid>
        <w:gridCol w:w="1871"/>
        <w:gridCol w:w="1871"/>
        <w:gridCol w:w="1871"/>
        <w:gridCol w:w="1871"/>
        <w:gridCol w:w="1871"/>
      </w:tblGrid>
      <w:tr>
        <w:tc>
          <w:tcPr>
            <w:tcW w:type="dxa" w:w="1871"/>
          </w:tcPr>
          <w:p>
            <w:r>
              <w:t>Herramienta</w:t>
            </w:r>
          </w:p>
        </w:tc>
        <w:tc>
          <w:tcPr>
            <w:tcW w:type="dxa" w:w="1871"/>
          </w:tcPr>
          <w:p>
            <w:r>
              <w:t>Severidad</w:t>
            </w:r>
          </w:p>
        </w:tc>
        <w:tc>
          <w:tcPr>
            <w:tcW w:type="dxa" w:w="1871"/>
          </w:tcPr>
          <w:p>
            <w:r>
              <w:t>Hallazgo</w:t>
            </w:r>
          </w:p>
        </w:tc>
        <w:tc>
          <w:tcPr>
            <w:tcW w:type="dxa" w:w="1871"/>
          </w:tcPr>
          <w:p>
            <w:r>
              <w:t>ISO 27001</w:t>
            </w:r>
          </w:p>
        </w:tc>
        <w:tc>
          <w:tcPr>
            <w:tcW w:type="dxa" w:w="1871"/>
          </w:tcPr>
          <w:p>
            <w:r>
              <w:t>COBIT 2019</w:t>
            </w:r>
          </w:p>
        </w:tc>
      </w:tr>
      <w:tr>
        <w:tc>
          <w:tcPr>
            <w:tcW w:type="dxa" w:w="1871"/>
          </w:tcPr>
          <w:p>
            <w:r>
              <w:t>Lynis</w:t>
            </w:r>
          </w:p>
        </w:tc>
        <w:tc>
          <w:tcPr>
            <w:tcW w:type="dxa" w:w="1871"/>
          </w:tcPr>
          <w:p>
            <w:r>
              <w:t>Media</w:t>
            </w:r>
          </w:p>
        </w:tc>
        <w:tc>
          <w:tcPr>
            <w:tcW w:type="dxa" w:w="1871"/>
          </w:tcPr>
          <w:p>
            <w:r>
              <w:t>DEB-0280|Install libpam-tmpdir to set $TMP and $TMPDIR for PAM sessions|-|-|...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DEB-0810|Install apt-listbugs to display a list of critical bugs prior to each APT installation.|-|-...</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DEB-0811|Install apt-listchanges to display any significant changes prior to any upgrade via APT.|-|...</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DEB-0831|Install needrestart, alternatively to debian-goodies, so that you can run needrestart after...</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DEB-0880|Install fail2ban to automatically ban hosts that commit multiple authentication errors.|-|-...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BOOT-5180|Determine runlevel and services at startup|-|-|...</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BOOT-5264|Consider hardening system services|Run '/usr/bin/systemd-analyze security SERVICE' for eac...</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KRNL-5788|Determine why /vmlinuz or /boot/vmlinuz is missing on this Debian/Ubuntu system.|/vmlinuz ...</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AUTH-9230|Configure password hashing rounds in /etc/login.defs|-|-|...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AUTH-9262|Install a PAM module for password strength testing like pam_cracklib or pam_passwdqc or li...</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AUTH-9286|Configure minimum password age in /etc/login.defs|-|-|...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AUTH-9286|Configure maximum password age in /etc/login.defs|-|-|...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AUTH-9328|Default umask in /etc/login.defs could not be found and defaults usually to 022, which cou...</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FILE-6310|To decrease the impact of a full /home file system, place /home on a separate partition|-|...</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FILE-6310|To decrease the impact of a full /var file system, place /var on a separate partition|-|-|...</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USB-1000|Disable drivers like USB storage when not used, to prevent unauthorized storage or data the...</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PKGS-7370|Install debsums utility for the verification of packages with known good database.|-|-|...</w:t>
            </w:r>
          </w:p>
        </w:tc>
        <w:tc>
          <w:tcPr>
            <w:tcW w:type="dxa" w:w="1871"/>
          </w:tcPr>
          <w:p>
            <w:r>
              <w:t>A.8.8</w:t>
            </w:r>
          </w:p>
        </w:tc>
        <w:tc>
          <w:tcPr>
            <w:tcW w:type="dxa" w:w="1871"/>
          </w:tcPr>
          <w:p>
            <w:r>
              <w:t>DSS05.04</w:t>
            </w:r>
          </w:p>
        </w:tc>
      </w:tr>
      <w:tr>
        <w:tc>
          <w:tcPr>
            <w:tcW w:type="dxa" w:w="1871"/>
          </w:tcPr>
          <w:p>
            <w:r>
              <w:t>Lynis</w:t>
            </w:r>
          </w:p>
        </w:tc>
        <w:tc>
          <w:tcPr>
            <w:tcW w:type="dxa" w:w="1871"/>
          </w:tcPr>
          <w:p>
            <w:r>
              <w:t>Alta</w:t>
            </w:r>
          </w:p>
        </w:tc>
        <w:tc>
          <w:tcPr>
            <w:tcW w:type="dxa" w:w="1871"/>
          </w:tcPr>
          <w:p>
            <w:r>
              <w:t>PKGS-7392|Found one or more vulnerable packages.|-|-|...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PKGS-7392|Update your system with apt-get update, apt-get upgrade, apt-get dist-upgrade and/or unatt...</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PKGS-7394|Install package apt-show-versions for patch management purposes|-|-|...</w:t>
            </w:r>
          </w:p>
        </w:tc>
        <w:tc>
          <w:tcPr>
            <w:tcW w:type="dxa" w:w="1871"/>
          </w:tcPr>
          <w:p>
            <w:r>
              <w:t>A.8.8</w:t>
            </w:r>
          </w:p>
        </w:tc>
        <w:tc>
          <w:tcPr>
            <w:tcW w:type="dxa" w:w="1871"/>
          </w:tcPr>
          <w:p>
            <w:r>
              <w:t>DSS05.04</w:t>
            </w:r>
          </w:p>
        </w:tc>
      </w:tr>
    </w:tbl>
    <w:p>
      <w:pPr>
        <w:pStyle w:val="Heading1"/>
      </w:pPr>
      <w:r>
        <w:t xml:space="preserve">4. Conclusiones</w:t>
      </w:r>
    </w:p>
    <w:p>
      <w:pPr/>
      <w:r>
        <w:t>El presente laboratorio técnico demuestra de manera fehaciente que el análisis automatizado de configuraciones y vulnerabilidades (mediante Lynis, Docker Bench y Trivy) es fundamental para establecer una línea base de seguridad. La identificación de más de 400 deficiencias, tanto de diseño (arquitectura de contenedores) como de eficacia operativa (componentes vulnerables sin parchear), resalta la necesidad de implementar controles detectivos y preventivos de acuerdo al Anexo A.8.8 de la norma ISO/IEC 27001:2022 y lineamientos de COBIT 2019.</w:t>
      </w:r>
    </w:p>
    <w:p>
      <w:pPr>
        <w:pStyle w:val="FirstParagraph"/>
      </w:pPr>
      <w:r>
        <w:t xml:space="preserve">Mínimo tres. Una conclusión no resume lo que hiciste. Dice lo que aprendiste y se sostiene en la evidencia de la sección 3.</w:t>
      </w:r>
    </w:p>
    <w:bookmarkEnd w:id="28"/>
    <w:bookmarkStart w:id="29" w:name="cuestionario"/>
    <w:p>
      <w:pPr>
        <w:pStyle w:val="Heading1"/>
      </w:pPr>
      <w:r>
        <w:t xml:space="preserve">5. Cuestionario</w:t>
      </w:r>
    </w:p>
    <w:p>
      <w:pPr/>
      <w:r>
        <w:t>Respuesta: Si una organización omite la automatización y gestión de la configuración segura (mediante compliance scanning, SBOM, etc.), se expondría a riesgos críticos de ciberseguridad. Al no tener visibilidad sobre vulnerabilidades de dependencias ni deficiencias de configuración en sus contenedores (como el montaje del socket de Docker), un atacante podría explotar fácilmente las fallas y escalar privilegios desde la aplicación hacia el sistema operativo anfitrión. Esto no solo facilitaría el compromiso total de la infraestructura, sino que conllevaría a graves sanciones legales por incumplimiento de normativas internacionales como ISO/IEC 27001 o la pérdida de certificaciones, impactando directamente en la continuidad del negocio y la reputación de la empresa.</w:t>
      </w:r>
    </w:p>
    <w:p>
      <w:pPr/>
      <w:r>
        <w:t>Pregunta de transferencia: ¿Qué riesgo correría una organización real si esto se hiciera mal?</w:t>
      </w:r>
    </w:p>
    <w:p>
      <w:pPr>
        <w:pStyle w:val="FirstParagraph"/>
      </w:pPr>
      <w:r>
        <w:t xml:space="preserve">Copia cada pregunta de la guía de la semana y respóndela debajo.</w:t>
      </w:r>
    </w:p>
    <w:bookmarkEnd w:id="29"/>
    <w:bookmarkStart w:id="30" w:name="referencias-bibliográficas"/>
    <w:p>
      <w:pPr>
        <w:pStyle w:val="Heading1"/>
      </w:pPr>
      <w:r>
        <w:t xml:space="preserve">6. Referencias bibliográficas</w:t>
      </w:r>
    </w:p>
    <w:p>
      <w:pPr/>
      <w:r>
        <w:t>OpenSCAP Project. (s.f.). OpenSCAP Project. https://www.open-scap.org/</w:t>
      </w:r>
    </w:p>
    <w:p>
      <w:pPr/>
      <w:r>
        <w:t>ISO. (2022). ISO/IEC 27001:2022 Information security, cybersecurity and privacy protection — Information security management systems — Requirements. https://www.iso.org/standard/27001</w:t>
      </w:r>
    </w:p>
    <w:p>
      <w:pPr/>
      <w:r>
        <w:t>ISACA. (2018). COBIT 2019 Framework: Governance and Management Objectives. https://www.isaca.org/resources/cobit</w:t>
      </w:r>
    </w:p>
    <w:p>
      <w:pPr/>
      <w:r>
        <w:t>CISOfy. (s.f.). Lynis — Security auditing tool. https://cisofy.com/lynis/</w:t>
      </w:r>
    </w:p>
    <w:p>
      <w:pPr/>
      <w:r>
        <w:t>Center for Internet Security. (s.f.). CIS Benchmarks. https://www.cisecurity.org/cis-benchmarks</w:t>
      </w:r>
    </w:p>
    <w:p>
      <w:pPr/>
      <w:r>
        <w:t>Aqua Security. (s.f.). Trivy Documentation. https://trivy.dev/</w:t>
      </w:r>
    </w:p>
    <w:p>
      <w:pPr>
        <w:pStyle w:val="FirstParagraph"/>
      </w:pPr>
      <w:r>
        <w:t xml:space="preserve">Normas técnicas, marcos profesionales, documentación oficial y bibliografía indexada, en formato APA. No se admiten wikis abiertas ni sitios sin autoría verificable.</w:t>
      </w:r>
    </w:p>
    <w:bookmarkEnd w:id="30"/>
    <w:bookmarkStart w:id="31" w:name="anexos"/>
    <w:p>
      <w:pPr>
        <w:pStyle w:val="Heading1"/>
      </w:pPr>
      <w:r>
        <w:t xml:space="preserve">7. Anexos</w:t>
      </w:r>
    </w:p>
    <w:p>
      <w:pPr/>
      <w:r>
        <w:t>Anexo C: Inventario de componentes (sbom_juiceshop.json).</w:t>
      </w:r>
    </w:p>
    <w:p>
      <w:pPr/>
      <w:r>
        <w:t>Anexo B: Matriz consolidada de hallazgos (PT04_matriz_control.csv).</w:t>
      </w:r>
    </w:p>
    <w:p>
      <w:pPr/>
      <w:r>
        <w:t>Anexo A: Reporte completo de configuración extraído (docker-bench.log, lynis-consola.txt).</w:t>
      </w:r>
    </w:p>
    <w:p>
      <w:pPr>
        <w:pStyle w:val="FirstParagraph"/>
      </w:pPr>
      <w:r>
        <w:t xml:space="preserve">Capturas completas, archivos de configuración y salidas extensas. Cada anexo lleva su letra y su título, y se menciona en el cuerpo del informe.</w:t>
      </w:r>
    </w:p>
    <w:bookmarkEnd w:id="31"/>
    <w:sectPr>
      <w:headerReference r:id="rIdHdr1" w:type="default"/>
      <w:footerReference r:id="rIdFtr1" w:type="default"/>
      <w:pgSz w:h="16838" w:w="11906"/>
      <w:pgMar w:bottom="1418" w:footer="709" w:gutter="0" w:header="709" w:left="1276" w:right="1276"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12" w:space="2" w:color="1F4E79"/>
      </w:pBdr>
      <w:tabs>
        <w:tab w:val="right" w:pos="9026"/>
      </w:tabs>
      <w:spacing w:before="60" w:after="0"/>
    </w:pPr>
    <w:r>
      <w:rPr>
        <w:rFonts w:ascii="Arial" w:hAnsi="Arial"/>
        <w:color w:val="1F4E79"/>
        <w:sz w:val="18"/>
      </w:rPr>
      <w:t xml:space="preserve">Dr. Oscar Juan Jimenez Flores</w:t>
    </w:r>
    <w:r>
      <w:tab/>
    </w:r>
    <w:r>
      <w:rPr>
        <w:rFonts w:ascii="Arial" w:hAnsi="Arial"/>
        <w:color w:val="1F4E79"/>
        <w:sz w:val="18"/>
      </w:rPr>
      <w:t>- </w:t>
    </w:r>
    <w:r>
      <w:fldChar w:fldCharType="begin"/>
    </w:r>
    <w:r>
      <w:instrText xml:space="preserve"> PAGE </w:instrText>
    </w:r>
    <w:r>
      <w:fldChar w:fldCharType="separate"/>
    </w:r>
    <w:r>
      <w:t>1</w:t>
    </w:r>
    <w:r>
      <w:fldChar w:fldCharType="end"/>
    </w:r>
    <w:r>
      <w:rPr>
        <w:rFonts w:ascii="Arial" w:hAnsi="Arial"/>
        <w:color w:val="1F4E79"/>
        <w:sz w:val="18"/>
      </w:rPr>
      <w:t>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12" w:space="2" w:color="1F4E79"/>
      </w:pBdr>
      <w:tabs>
        <w:tab w:val="right" w:pos="9072"/>
      </w:tabs>
      <w:spacing w:after="0"/>
    </w:pPr>
    <w:r>
      <w:drawing>
        <wp:inline distT="0" distB="0" distL="0" distR="0">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rFonts w:ascii="Arial" w:hAnsi="Arial"/>
        <w:color w:val="1F4E79"/>
        <w:sz w:val="20"/>
      </w:rPr>
      <w:t xml:space="preserve">Escuela Profesional de Ingeniería de Sistemas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60" w:lineRule="auto"/>
    </w:pPr>
    <w:rPr>
      <w:rFonts w:ascii="Times New Roman" w:cs="Arial" w:eastAsia="Arial" w:hAnsi="Times New Roman"/>
      <w:sz w:val="24"/>
    </w:rPr>
  </w:style>
  <w:style w:styleId="BodyText" w:type="paragraph">
    <w:name w:val="Body Text"/>
    <w:basedOn w:val="Normal"/>
    <w:link w:val="BodyTextChar"/>
    <w:qFormat/>
    <w:pPr>
      <w:jc w:val="both"/>
      <w:spacing w:after="120" w:before="0"/>
    </w:pPr>
    <w:rPr>
      <w:rFonts w:ascii="Arial" w:cs="Arial" w:eastAsia="Arial" w:hAnsi="Arial"/>
      <w:sz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sz w:val="56"/>
      <w:szCs w:val="56"/>
    </w:rPr>
  </w:style>
  <w:style w:customStyle="1" w:styleId="TitleChar" w:type="character">
    <w:name w:val="Title Char"/>
    <w:basedOn w:val="DefaultParagraphFont"/>
    <w:link w:val="Title"/>
    <w:uiPriority w:val="10"/>
    <w:rsid w:val="00A10FD9"/>
    <w:rPr>
      <w:rFonts w:ascii="Arial" w:cs="Arial" w:eastAsia="Arial" w:hAnsi="Arial"/>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spacing w:val="15"/>
      <w:sz w:val="28"/>
      <w:szCs w:val="28"/>
    </w:rPr>
  </w:style>
  <w:style w:customStyle="1" w:styleId="SubtitleChar" w:type="character">
    <w:name w:val="Subtitle Char"/>
    <w:basedOn w:val="DefaultParagraphFont"/>
    <w:link w:val="Subtitle"/>
    <w:uiPriority w:val="11"/>
    <w:rsid w:val="00A10FD9"/>
    <w:rPr>
      <w:rFonts w:ascii="Arial" w:cs="Arial" w:eastAsia="Arial" w:hAnsi="Arial"/>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80"/>
      <w:outlineLvl w:val="0"/>
    </w:pPr>
    <w:rPr>
      <w:rFonts w:ascii="Arial" w:cs="Arial" w:eastAsia="Arial" w:hAnsi="Arial"/>
      <w:b/>
      <w:color w:val="16285C"/>
      <w:sz w:val="28"/>
      <w:szCs w:val="28"/>
    </w:rPr>
  </w:style>
  <w:style w:styleId="Heading2" w:type="paragraph">
    <w:name w:val="heading 2"/>
    <w:basedOn w:val="Normal"/>
    <w:next w:val="BodyText"/>
    <w:link w:val="Heading2Char"/>
    <w:uiPriority w:val="9"/>
    <w:semiHidden/>
    <w:unhideWhenUsed/>
    <w:qFormat/>
    <w:rsid w:val="00A10FD9"/>
    <w:pPr>
      <w:keepNext/>
      <w:keepLines/>
      <w:spacing w:after="60" w:before="200"/>
      <w:outlineLvl w:val="1"/>
    </w:pPr>
    <w:rPr>
      <w:rFonts w:ascii="Arial" w:cs="Arial" w:eastAsia="Arial" w:hAnsi="Arial"/>
      <w:b/>
      <w:color w:val="16285C"/>
      <w:sz w:val="24"/>
      <w:szCs w:val="24"/>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Arial" w:cs="Arial" w:eastAsia="Arial" w:hAnsi="Arial"/>
      <w:b/>
      <w:color w:val="1F4E79"/>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140"/>
      <w:outlineLvl w:val="3"/>
    </w:pPr>
    <w:rPr>
      <w:rFonts w:ascii="Arial" w:cs="Arial" w:eastAsia="Arial" w:hAnsi="Arial"/>
      <w:b/>
      <w:color w:val="1F4E79"/>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eastAsia="Arial" w:hAnsi="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eastAsia="Arial" w:hAnsi="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eastAsia="Arial" w:hAnsi="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eastAsia="Arial" w:hAnsi="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eastAsia="Arial" w:hAnsi="Arial"/>
      <w:color w:themeColor="text1" w:themeTint="D8" w:val="272727"/>
    </w:rPr>
  </w:style>
  <w:style w:customStyle="1" w:styleId="Heading1Char" w:type="character">
    <w:name w:val="Heading 1 Char"/>
    <w:basedOn w:val="DefaultParagraphFont"/>
    <w:link w:val="Heading1"/>
    <w:uiPriority w:val="9"/>
    <w:rsid w:val="00A10FD9"/>
    <w:rPr>
      <w:rFonts w:ascii="Arial" w:cs="Arial" w:eastAsia="Arial" w:hAnsi="Arial"/>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Arial" w:cs="Arial" w:eastAsia="Arial" w:hAnsi="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Arial" w:cs="Arial" w:eastAsia="Arial" w:hAnsi="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Arial" w:cs="Arial" w:eastAsia="Arial" w:hAnsi="Arial"/>
      <w:i/>
      <w:iCs/>
      <w:color w:themeColor="accent1" w:themeShade="BF" w:val="0F4761"/>
    </w:rPr>
  </w:style>
  <w:style w:customStyle="1" w:styleId="Heading5Char" w:type="character">
    <w:name w:val="Heading 5 Char"/>
    <w:basedOn w:val="DefaultParagraphFont"/>
    <w:link w:val="Heading5"/>
    <w:uiPriority w:val="9"/>
    <w:semiHidden/>
    <w:rsid w:val="00A10FD9"/>
    <w:rPr>
      <w:rFonts w:ascii="Arial" w:cs="Arial" w:eastAsia="Arial" w:hAnsi="Arial"/>
      <w:color w:themeColor="accent1" w:themeShade="BF" w:val="0F4761"/>
    </w:rPr>
  </w:style>
  <w:style w:customStyle="1" w:styleId="Heading6Char" w:type="character">
    <w:name w:val="Heading 6 Char"/>
    <w:basedOn w:val="DefaultParagraphFont"/>
    <w:link w:val="Heading6"/>
    <w:uiPriority w:val="9"/>
    <w:semiHidden/>
    <w:rsid w:val="00A10FD9"/>
    <w:rPr>
      <w:rFonts w:ascii="Arial" w:cs="Arial" w:eastAsia="Arial" w:hAnsi="Arial"/>
      <w:i/>
      <w:iCs/>
      <w:color w:themeColor="text1" w:themeTint="A6" w:val="595959"/>
    </w:rPr>
  </w:style>
  <w:style w:customStyle="1" w:styleId="Heading7Char" w:type="character">
    <w:name w:val="Heading 7 Char"/>
    <w:basedOn w:val="DefaultParagraphFont"/>
    <w:link w:val="Heading7"/>
    <w:uiPriority w:val="9"/>
    <w:semiHidden/>
    <w:rsid w:val="00A10FD9"/>
    <w:rPr>
      <w:rFonts w:ascii="Arial" w:cs="Arial" w:eastAsia="Arial" w:hAnsi="Arial"/>
      <w:color w:themeColor="text1" w:themeTint="A6" w:val="595959"/>
    </w:rPr>
  </w:style>
  <w:style w:customStyle="1" w:styleId="Heading8Char" w:type="character">
    <w:name w:val="Heading 8 Char"/>
    <w:basedOn w:val="DefaultParagraphFont"/>
    <w:link w:val="Heading8"/>
    <w:uiPriority w:val="9"/>
    <w:semiHidden/>
    <w:rsid w:val="00A10FD9"/>
    <w:rPr>
      <w:rFonts w:ascii="Arial" w:cs="Arial" w:eastAsia="Arial" w:hAnsi="Arial"/>
      <w:i/>
      <w:iCs/>
      <w:color w:themeColor="text1" w:themeTint="D8" w:val="272727"/>
    </w:rPr>
  </w:style>
  <w:style w:customStyle="1" w:styleId="Heading9Char" w:type="character">
    <w:name w:val="Heading 9 Char"/>
    <w:basedOn w:val="DefaultParagraphFont"/>
    <w:link w:val="Heading9"/>
    <w:uiPriority w:val="9"/>
    <w:semiHidden/>
    <w:rsid w:val="00A10FD9"/>
    <w:rPr>
      <w:rFonts w:ascii="Arial" w:cs="Arial" w:eastAsia="Arial" w:hAnsi="Arial"/>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9AA5B1" w:space="0" w:sz="6" w:val="single"/>
        <w:left w:color="9AA5B1" w:space="0" w:sz="6" w:val="single"/>
        <w:bottom w:color="9AA5B1" w:space="0" w:sz="6" w:val="single"/>
        <w:right w:color="9AA5B1" w:space="0" w:sz="6" w:val="single"/>
        <w:insideH w:color="9AA5B1" w:space="0" w:sz="6" w:val="single"/>
        <w:insideV w:color="9AA5B1" w:space="0" w:sz="6" w:val="single"/>
      </w:tblBorders>
      <w:tblInd w:type="dxa" w:w="0"/>
      <w:tblCellMar>
        <w:top w:type="dxa" w:w="0"/>
        <w:left w:type="dxa" w:w="108"/>
        <w:bottom w:type="dxa" w:w="0"/>
        <w:right w:type="dxa" w:w="108"/>
      </w:tblCellMar>
    </w:tblPr>
    <w:tblStylePr w:type="firstRow">
      <w:tcPr>
        <w:shd w:color="auto" w:fill="EDF2F8" w:val="clear"/>
        <w:tcBorders>
          <w:bottom w:color="16285C"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customStyle="1" w:styleId="Centrado" w:type="paragraph">
    <w:name w:val="Centrado"/>
    <w:basedOn w:val="BodyText"/>
    <w:qFormat/>
    <w:pPr>
      <w:jc w:val="center"/>
      <w:spacing w:after="100" w:before="100"/>
    </w:pPr>
    <w:rPr>
      <w:rFonts w:ascii="Arial" w:hAnsi="Arial"/>
    </w:rPr>
  </w:style>
  <w:style w:customStyle="1" w:styleId="TituloCaratula" w:type="paragraph">
    <w:name w:val="TituloCaratula"/>
    <w:basedOn w:val="BodyText"/>
    <w:qFormat/>
    <w:pPr>
      <w:jc w:val="center"/>
      <w:spacing w:after="240" w:before="240"/>
    </w:pPr>
    <w:rPr>
      <w:rFonts w:ascii="Arial" w:hAnsi="Arial"/>
      <w:sz w:val="52"/>
    </w:rPr>
  </w:style>
  <w:style w:customStyle="1" w:styleId="Caratula" w:type="paragraph">
    <w:name w:val="Caratula"/>
    <w:basedOn w:val="BodyText"/>
    <w:qFormat/>
    <w:pPr>
      <w:jc w:val="center"/>
      <w:spacing w:after="80" w:before="0"/>
    </w:pPr>
    <w:rPr>
      <w:rFonts w:ascii="Arial" w:hAnsi="Arial"/>
      <w:sz w:val="22"/>
    </w:rPr>
  </w:style>
  <w:style w:customStyle="1" w:styleId="CaratulaInstitucion" w:type="paragraph">
    <w:name w:val="Caratula Institucion"/>
    <w:basedOn w:val="Caratula"/>
    <w:qFormat/>
    <w:pPr>
      <w:jc w:val="center"/>
      <w:spacing w:after="0" w:before="0"/>
    </w:pPr>
    <w:rPr>
      <w:rFonts w:ascii="Arial" w:hAnsi="Arial"/>
      <w:b/>
      <w:color w:val="16285C"/>
      <w:sz w:val="22"/>
    </w:rPr>
  </w:style>
  <w:style w:customStyle="1" w:styleId="CaratulaTitulo" w:type="paragraph">
    <w:name w:val="Caratula Titulo"/>
    <w:basedOn w:val="Caratula"/>
    <w:qFormat/>
    <w:pPr>
      <w:jc w:val="center"/>
      <w:spacing w:after="60" w:before="420"/>
      <w:pBdr>
        <w:top w:color="16285C" w:space="8" w:sz="8" w:val="single"/>
        <w:bottom w:color="16285C" w:space="8" w:sz="8" w:val="single"/>
      </w:pBdr>
    </w:pPr>
    <w:rPr>
      <w:rFonts w:ascii="Arial" w:hAnsi="Arial"/>
      <w:b/>
      <w:color w:val="16285C"/>
      <w:sz w:val="30"/>
    </w:rPr>
  </w:style>
  <w:style w:customStyle="1" w:styleId="CaratulaCurso" w:type="paragraph">
    <w:name w:val="Caratula Curso"/>
    <w:basedOn w:val="Caratula"/>
    <w:qFormat/>
    <w:pPr>
      <w:jc w:val="center"/>
      <w:spacing w:after="360" w:before="120"/>
    </w:pPr>
    <w:rPr>
      <w:rFonts w:ascii="Arial" w:hAnsi="Arial"/>
      <w:b/>
      <w:sz w:val="24"/>
    </w:rPr>
  </w:style>
  <w:style w:customStyle="1" w:styleId="CaratulaCampo" w:type="paragraph">
    <w:name w:val="Caratula Campo"/>
    <w:basedOn w:val="Caratula"/>
    <w:qFormat/>
    <w:pPr>
      <w:jc w:val="center"/>
      <w:spacing w:after="200" w:before="0"/>
    </w:pPr>
    <w:rPr>
      <w:rFonts w:ascii="Arial" w:hAnsi="Arial"/>
      <w:sz w:val="22"/>
    </w:rPr>
  </w:style>
  <w:style w:customStyle="1" w:styleId="Instruccion" w:type="paragraph">
    <w:name w:val="Instruccion"/>
    <w:basedOn w:val="BodyText"/>
    <w:qFormat/>
    <w:pPr>
      <w:spacing w:after="100" w:before="0"/>
    </w:pPr>
    <w:rPr>
      <w:rFonts w:ascii="Arial" w:hAnsi="Arial"/>
      <w:i/>
      <w:color w:val="5B6B7C"/>
      <w:sz w:val="20"/>
    </w:rPr>
  </w:style>
  <w:style w:customStyle="1" w:styleId="CaratulaEtiqueta" w:type="paragraph">
    <w:name w:val="Caratula Etiqueta"/>
    <w:basedOn w:val="Caratula"/>
    <w:qFormat/>
    <w:pPr>
      <w:jc w:val="center"/>
      <w:spacing w:after="0" w:before="260"/>
    </w:pPr>
    <w:rPr>
      <w:rFonts w:ascii="Arial" w:hAnsi="Arial"/>
      <w:b/>
      <w:caps/>
      <w:color w:val="16285C"/>
      <w:sz w:val="20"/>
    </w:rPr>
  </w:style>
  <w:style w:customStyle="1" w:styleId="CaratulaLinea" w:type="paragraph">
    <w:name w:val="Caratula Linea"/>
    <w:basedOn w:val="Caratula"/>
    <w:qFormat/>
    <w:pPr>
      <w:jc w:val="center"/>
      <w:spacing w:after="0" w:before="0" w:line="320" w:lineRule="auto"/>
    </w:pPr>
    <w:rPr>
      <w:rFonts w:ascii="Arial" w:hAnsi="Arial"/>
      <w:sz w:val="22"/>
    </w:rPr>
  </w:style>
  <w:style w:customStyle="1" w:styleId="CaratulaPie" w:type="paragraph">
    <w:name w:val="Caratula Pie"/>
    <w:basedOn w:val="Caratula"/>
    <w:qFormat/>
    <w:pPr>
      <w:jc w:val="center"/>
      <w:spacing w:after="0" w:before="2400"/>
    </w:pPr>
    <w:rPr>
      <w:rFonts w:ascii="Arial" w:hAnsi="Arial"/>
      <w:sz w:val="22"/>
    </w:rPr>
  </w:style>
  <w:style w:type="paragraph" w:customStyle="1" w:styleId="CaratulaCurso">
    <w:name w:val="CaratulaCurso"/>
    <w:basedOn w:val="BodyText"/>
    <w:qFormat/>
  </w:style>
  <w:style w:type="paragraph" w:customStyle="1" w:styleId="CaratulaEtiqueta">
    <w:name w:val="CaratulaEtiqueta"/>
    <w:basedOn w:val="BodyText"/>
    <w:qFormat/>
  </w:style>
  <w:style w:type="paragraph" w:customStyle="1" w:styleId="CaratulaInstitucion">
    <w:name w:val="CaratulaInstitucion"/>
    <w:basedOn w:val="BodyText"/>
    <w:qFormat/>
  </w:style>
  <w:style w:type="paragraph" w:customStyle="1" w:styleId="CaratulaLinea">
    <w:name w:val="CaratulaLinea"/>
    <w:basedOn w:val="BodyText"/>
    <w:qFormat/>
  </w:style>
  <w:style w:type="paragraph" w:customStyle="1" w:styleId="CaratulaPie">
    <w:name w:val="CaratulaPie"/>
    <w:basedOn w:val="BodyText"/>
    <w:qFormat/>
  </w:style>
  <w:style w:type="paragraph" w:customStyle="1" w:styleId="CaratulaTitulo">
    <w:name w:val="CaratulaTitul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Hdr1" Type="http://schemas.openxmlformats.org/officeDocument/2006/relationships/header" Target="header1.xml"/><Relationship Id="rIdFtr1" Type="http://schemas.openxmlformats.org/officeDocument/2006/relationships/footer" Target="footer1.xml"/><Relationship Id="rId12" Type="http://schemas.openxmlformats.org/officeDocument/2006/relationships/image" Target="media/rId12.jpg"/><Relationship Id="rId9" Type="http://schemas.openxmlformats.org/officeDocument/2006/relationships/image" Target="media/rId9.png"/></Relationships>
</file>

<file path=word/_rels/header1.xml.rels><?xml version='1.0' encoding='UTF-8' standalone='yes'?>
<Relationships xmlns="http://schemas.openxmlformats.org/package/2006/relationships"><Relationship Id="rId1" Type="http://schemas.openxmlformats.org/officeDocument/2006/relationships/image" Target="media/logo_up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2026-08-27T20:08:59Z</dcterms:created>
  <dcterms:modified xsi:type="dcterms:W3CDTF">2026-08-27T20:08:59Z</dcterms:modified>
</cp:coreProperties>
</file>

<file path=docProps/custom.xml><?xml version="1.0" encoding="utf-8"?>
<Properties xmlns="http://schemas.openxmlformats.org/officeDocument/2006/custom-properties" xmlns:vt="http://schemas.openxmlformats.org/officeDocument/2006/docPropsVTypes"/>
</file>