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b65aodjxmrvj" w:id="0"/>
      <w:bookmarkEnd w:id="0"/>
      <w:r w:rsidDel="00000000" w:rsidR="00000000" w:rsidRPr="00000000">
        <w:rPr>
          <w:b w:val="1"/>
          <w:bCs w:val="1"/>
          <w:sz w:val="46"/>
          <w:szCs w:val="46"/>
          <w:rtl w:val="0"/>
        </w:rPr>
        <w:t xml:space="preserve">Plantryx — Campaign Targeting &amp; Reporting Spec (EU)</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17a90ypsp7p" w:id="1"/>
      <w:bookmarkEnd w:id="1"/>
      <w:r w:rsidDel="00000000" w:rsidR="00000000" w:rsidRPr="00000000">
        <w:rPr>
          <w:b w:val="1"/>
          <w:bCs w:val="1"/>
          <w:sz w:val="34"/>
          <w:szCs w:val="34"/>
          <w:rtl w:val="0"/>
        </w:rPr>
        <w:t xml:space="preserve">1. Company-Level ICP (all criteria must hold)</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7685"/>
        <w:tblGridChange w:id="0">
          <w:tblGrid>
            <w:gridCol w:w="1535"/>
            <w:gridCol w:w="7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$100M–$1B USD</w:t>
            </w:r>
            <w:r w:rsidDel="00000000" w:rsidR="00000000" w:rsidRPr="00000000">
              <w:rPr>
                <w:rtl w:val="0"/>
              </w:rPr>
              <w:t xml:space="preserve"> (approx. €90M–€900M). Exclude enterprise and sub-$50M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Company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Manufacturers</w:t>
            </w:r>
            <w:r w:rsidDel="00000000" w:rsidR="00000000" w:rsidRPr="00000000">
              <w:rPr>
                <w:rtl w:val="0"/>
              </w:rPr>
              <w:t xml:space="preserve"> (discrete or light process). Inventory-heavy distributors acceptable as secondary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ERP in place — e.g., SAP (incl. Business One / mid-tier S/4), Microsoft Dynamics 365 BC/F&amp;O, Infor, IFS, Epicor, Oracle, Netsuite, QAD, proALPHA, abas. Companies with no ERP are disqualified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Geography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EU: Netherlands, Nordics (SE/DK/FI/NO), Poland first; DACH second</w:t>
            </w:r>
            <w:r w:rsidDel="00000000" w:rsidR="00000000" w:rsidRPr="00000000">
              <w:rPr>
                <w:rtl w:val="0"/>
              </w:rPr>
              <w:t xml:space="preserve"> (subject to your UWG/GDPR-compliant approach, which we'd like described in writing)</w:t>
            </w:r>
          </w:p>
        </w:tc>
      </w:tr>
    </w:tbl>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Target verticals (priority order):</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Electrical equipment / grid / power</w:t>
      </w:r>
      <w:r w:rsidDel="00000000" w:rsidR="00000000" w:rsidRPr="00000000">
        <w:rPr>
          <w:rtl w:val="0"/>
        </w:rPr>
        <w:t xml:space="preserve"> — transformers, switchgear, power distribution, data-center electrical &amp; cooling</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Automation &amp; industrial machinery</w:t>
      </w:r>
      <w:r w:rsidDel="00000000" w:rsidR="00000000" w:rsidRPr="00000000">
        <w:rPr>
          <w:rtl w:val="0"/>
        </w:rPr>
        <w:t xml:space="preserve"> — motion control, robotics components, packaging machinery, capital equipment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Semiconductor / high-tech adjacent</w:t>
      </w:r>
      <w:r w:rsidDel="00000000" w:rsidR="00000000" w:rsidRPr="00000000">
        <w:rPr>
          <w:rtl w:val="0"/>
        </w:rPr>
        <w:t xml:space="preserve"> — test equipment, precision components, electronics manufacturing (lower volume weight; long sales cycles)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Motor vehicle / auto parts</w:t>
      </w:r>
      <w:r w:rsidDel="00000000" w:rsidR="00000000" w:rsidRPr="00000000">
        <w:rPr>
          <w:rtl w:val="0"/>
        </w:rPr>
        <w:t xml:space="preserve"> — Tier 1–2 suppliers, aftermarket</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Fabricated metals / machining</w:t>
      </w:r>
      <w:r w:rsidDel="00000000" w:rsidR="00000000" w:rsidRPr="00000000">
        <w:rPr>
          <w:rtl w:val="0"/>
        </w:rPr>
        <w:t xml:space="preserve"> — precision machining, multi-SKU metal fabrication</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e7xjq4hs79c2" w:id="2"/>
      <w:bookmarkEnd w:id="2"/>
      <w:r w:rsidDel="00000000" w:rsidR="00000000" w:rsidRPr="00000000">
        <w:rPr>
          <w:rtl w:val="0"/>
        </w:rPr>
      </w:r>
    </w:p>
    <w:p w:rsidR="00000000" w:rsidDel="00000000" w:rsidP="00000000" w:rsidRDefault="00000000" w:rsidRPr="00000000" w14:paraId="00000015">
      <w:pPr>
        <w:pStyle w:val="Heading2"/>
        <w:keepNext w:val="0"/>
        <w:keepLines w:val="0"/>
        <w:spacing w:after="80" w:lineRule="auto"/>
        <w:ind w:left="720" w:hanging="360"/>
        <w:rPr>
          <w:b w:val="1"/>
          <w:bCs w:val="1"/>
          <w:sz w:val="34"/>
          <w:szCs w:val="34"/>
        </w:rPr>
      </w:pPr>
      <w:bookmarkStart w:colFirst="0" w:colLast="0" w:name="_ox3tfe2970hk" w:id="3"/>
      <w:bookmarkEnd w:id="3"/>
      <w:r w:rsidDel="00000000" w:rsidR="00000000" w:rsidRPr="00000000">
        <w:rPr>
          <w:b w:val="1"/>
          <w:bCs w:val="1"/>
          <w:sz w:val="34"/>
          <w:szCs w:val="34"/>
          <w:rtl w:val="0"/>
        </w:rPr>
        <w:t xml:space="preserve">2. Persona Tiers</w:t>
      </w:r>
    </w:p>
    <w:p w:rsidR="00000000" w:rsidDel="00000000" w:rsidP="00000000" w:rsidRDefault="00000000" w:rsidRPr="00000000" w14:paraId="00000016">
      <w:pPr>
        <w:spacing w:after="240" w:before="240" w:lineRule="auto"/>
        <w:rPr/>
      </w:pPr>
      <w:r w:rsidDel="00000000" w:rsidR="00000000" w:rsidRPr="00000000">
        <w:rPr>
          <w:rtl w:val="0"/>
        </w:rPr>
        <w:t xml:space="preserve">Each tier is a distinct segment with its own messaging angle — please structure campaigns and reporting at the tier level, not as one flat title list.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Tier 1 — Corporate planning (core volume):</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Director / Sr. Manager of: Supply Chain, Demand Planning, Supply Planning, S&amp;OP / IBP</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i w:val="1"/>
          <w:iCs w:val="1"/>
          <w:rtl w:val="0"/>
        </w:rPr>
        <w:t xml:space="preserve">Angle:</w:t>
      </w:r>
      <w:r w:rsidDel="00000000" w:rsidR="00000000" w:rsidRPr="00000000">
        <w:rPr>
          <w:rtl w:val="0"/>
        </w:rPr>
        <w:t xml:space="preserve"> forecast accuracy, S&amp;OP maturity, planning-cycle speed, decision lag</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Tier 2 — Manufacturing-native planning owners (core volume — do not skip; many target companies have no "demand planner" title at all):</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Master Scheduler / Master Production Scheduler</w:t>
      </w:r>
      <w:r w:rsidDel="00000000" w:rsidR="00000000" w:rsidRPr="00000000">
        <w:rPr>
          <w:rtl w:val="0"/>
        </w:rPr>
        <w:t xml:space="preserve"> (include despite non-Director title — this role owns MRP daily)</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Director/Manager of Production Planning; Production Control Manager; Planning &amp; Scheduling Manager</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Materials Manager; Director of Materials Management; Materials Planning Manager</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Plant Manager; Director of Manufacturing/Operations (site-level) — at the $100–300M end, often IS the planning function</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i w:val="1"/>
          <w:iCs w:val="1"/>
          <w:rtl w:val="0"/>
        </w:rPr>
        <w:t xml:space="preserve">Angle:</w:t>
      </w:r>
      <w:r w:rsidDel="00000000" w:rsidR="00000000" w:rsidRPr="00000000">
        <w:rPr>
          <w:rtl w:val="0"/>
        </w:rPr>
        <w:t xml:space="preserve"> shortages, expedites, schedule stability, MRP noise — operational language, not corporate S&amp;OP framing</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Tier 3 — Inventory &amp; MRO:</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Director of Inventory Controls / Inventory Control Manager</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MRO Sourcing &amp; Planning Director / Sr. Manager</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i w:val="1"/>
          <w:iCs w:val="1"/>
          <w:rtl w:val="0"/>
        </w:rPr>
        <w:t xml:space="preserve">Angle:</w:t>
      </w:r>
      <w:r w:rsidDel="00000000" w:rsidR="00000000" w:rsidRPr="00000000">
        <w:rPr>
          <w:rtl w:val="0"/>
        </w:rPr>
        <w:t xml:space="preserve"> excess stock, working capital, stockout-vs-overstock tradeoff</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Tier 4 — ERP/IT system owners (~10–15% of volume, separate sequence):</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IT Manager, IT Director, ERP Manager / ERP Project Manager, Business Systems Manager, CIO (smaller end of revenue band)</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Consultant/developer titles ONLY where the profile names the ERP or planning stack (e.g., SyteLine, Epicor, Dynamics, "MRP," "APS") — these are system owners and evaluators, not generic developers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Exclude: developer titles with generic software stacks and no ERP signal; independent consultants not tied to a qualified account</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i w:val="1"/>
          <w:iCs w:val="1"/>
          <w:rtl w:val="0"/>
        </w:rPr>
        <w:t xml:space="preserve">Angle:</w:t>
      </w:r>
      <w:r w:rsidDel="00000000" w:rsidR="00000000" w:rsidRPr="00000000">
        <w:rPr>
          <w:rtl w:val="0"/>
        </w:rPr>
        <w:t xml:space="preserve"> systems framing — AI planning layer on the existing ERP, no rip-and-replace, no new master-data project, IT-light deployment</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Executive layer (light volume, peer tone):</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VP Supply Chain / VP Operations / COO, weighted toward $100–300M companies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i w:val="1"/>
          <w:iCs w:val="1"/>
          <w:rtl w:val="0"/>
        </w:rPr>
        <w:t xml:space="preserve">Angle:</w:t>
      </w:r>
      <w:r w:rsidDel="00000000" w:rsidR="00000000" w:rsidRPr="00000000">
        <w:rPr>
          <w:rtl w:val="0"/>
        </w:rPr>
        <w:t xml:space="preserve"> strategic — working capital, service levels, planning as competitive capability. No survey-style asks.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Do not contact:</w:t>
      </w:r>
      <w:r w:rsidDel="00000000" w:rsidR="00000000" w:rsidRPr="00000000">
        <w:rPr>
          <w:rtl w:val="0"/>
        </w:rPr>
        <w:t xml:space="preserve"> planners/analysts below Sr. level (Master Scheduler is the one exception), procurement-only titles, sales/finance/HR at any level.</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Within-account sequencing:</w:t>
      </w:r>
      <w:r w:rsidDel="00000000" w:rsidR="00000000" w:rsidRPr="00000000">
        <w:rPr>
          <w:rtl w:val="0"/>
        </w:rPr>
        <w:t xml:space="preserve"> at smaller accounts ($100–300M), start Tier 2; at larger, start Tier 1. Tier 4 as a second wave, or first where no planning title exists at the account (itself a signal they plan in Excel). Please sequence contacts at the same account rather than emailing several in parallel.</w:t>
      </w:r>
      <w:r w:rsidDel="00000000" w:rsidR="00000000" w:rsidRPr="00000000">
        <w:rPr>
          <w:rtl w:val="0"/>
        </w:rPr>
      </w:r>
    </w:p>
    <w:p w:rsidR="00000000" w:rsidDel="00000000" w:rsidP="00000000" w:rsidRDefault="00000000" w:rsidRPr="00000000" w14:paraId="0000002E">
      <w:pPr>
        <w:spacing w:after="240" w:before="240" w:lineRule="auto"/>
        <w:ind w:left="720" w:firstLine="0"/>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4jau5499ezlu" w:id="4"/>
      <w:bookmarkEnd w:id="4"/>
      <w:r w:rsidDel="00000000" w:rsidR="00000000" w:rsidRPr="00000000">
        <w:rPr>
          <w:b w:val="1"/>
          <w:bCs w:val="1"/>
          <w:sz w:val="34"/>
          <w:szCs w:val="34"/>
          <w:rtl w:val="0"/>
        </w:rPr>
        <w:t xml:space="preserve">3. Buying Signals (rank leads by signal strength)</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Strong — any one qualifies as priority:</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tl w:val="0"/>
        </w:rPr>
        <w:t xml:space="preserve">Open job posting for demand planner, supply planner, S&amp;OP manager, production planner, or materials manager (stronger if the posting mentions Excel, forecasting improvement, or a named ERP)</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ERP implementation or migration underway or recently completed</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New plant, facility expansion, or capacity investment announcement</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New VP/Director of Supply Chain or Operations hired within the last 6 months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Medium — two or more required to qualify:</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rtl w:val="0"/>
        </w:rPr>
        <w:t xml:space="preserve">Ops/supply chain headcount growth &gt;10% YoY</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New market entry or product-line launch (SKU proliferation)</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Executive or company posts referencing forecast accuracy, excess inventory, stockouts, lead-time volatility, or S&amp;OP maturity</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Recent PE acquisition or ownership change (working-capital pressure)</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Supply base restructuring driven by tariffs, reshoring/nearshoring, or energy costs (highly relevant for EU metals, electrical, automotive suppliers)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Weak — supporting context only, never qualifying alone:</w:t>
      </w:r>
    </w:p>
    <w:p w:rsidR="00000000" w:rsidDel="00000000" w:rsidP="00000000" w:rsidRDefault="00000000" w:rsidRPr="00000000" w14:paraId="0000003C">
      <w:pPr>
        <w:numPr>
          <w:ilvl w:val="0"/>
          <w:numId w:val="10"/>
        </w:numPr>
        <w:spacing w:after="0" w:afterAutospacing="0" w:before="240" w:lineRule="auto"/>
        <w:ind w:left="720" w:hanging="360"/>
      </w:pPr>
      <w:r w:rsidDel="00000000" w:rsidR="00000000" w:rsidRPr="00000000">
        <w:rPr>
          <w:rtl w:val="0"/>
        </w:rPr>
        <w:t xml:space="preserve">Generic "digital transformation" language</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rtl w:val="0"/>
        </w:rPr>
        <w:t xml:space="preserve">Supply chain event/webinar attendance</w:t>
      </w:r>
    </w:p>
    <w:p w:rsidR="00000000" w:rsidDel="00000000" w:rsidP="00000000" w:rsidRDefault="00000000" w:rsidRPr="00000000" w14:paraId="0000003E">
      <w:pPr>
        <w:numPr>
          <w:ilvl w:val="0"/>
          <w:numId w:val="10"/>
        </w:numPr>
        <w:spacing w:after="240" w:before="0" w:beforeAutospacing="0" w:lineRule="auto"/>
        <w:ind w:left="720" w:hanging="360"/>
      </w:pPr>
      <w:r w:rsidDel="00000000" w:rsidR="00000000" w:rsidRPr="00000000">
        <w:rPr>
          <w:rtl w:val="0"/>
        </w:rPr>
        <w:t xml:space="preserve">Follows planning-software vendors on LinkedIn</w:t>
      </w:r>
    </w:p>
    <w:p w:rsidR="00000000" w:rsidDel="00000000" w:rsidP="00000000" w:rsidRDefault="00000000" w:rsidRPr="00000000" w14:paraId="0000003F">
      <w:pPr>
        <w:spacing w:after="240" w:before="240" w:lineRule="auto"/>
        <w:ind w:left="0" w:firstLine="0"/>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xhpx70lgv6nq" w:id="5"/>
      <w:bookmarkEnd w:id="5"/>
      <w:r w:rsidDel="00000000" w:rsidR="00000000" w:rsidRPr="00000000">
        <w:rPr>
          <w:b w:val="1"/>
          <w:bCs w:val="1"/>
          <w:sz w:val="34"/>
          <w:szCs w:val="34"/>
          <w:rtl w:val="0"/>
        </w:rPr>
        <w:t xml:space="preserve">4. Messaging Direction</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A note before the specifics: this section reflects our current thinking on structure and framing. You run outreach campaigns daily and we don't — if your experience suggests a different sequence structure, CTA approach, or framing that converts better with this audience, we want to hear it. Treat the positioning and claims-discipline points below as fixed; everything else is open for your input at kickoff.</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b w:val="1"/>
          <w:bCs w:val="1"/>
          <w:rtl w:val="0"/>
        </w:rPr>
        <w:t xml:space="preserve">Lead with the pitch, not a survey.</w:t>
      </w:r>
      <w:r w:rsidDel="00000000" w:rsidR="00000000" w:rsidRPr="00000000">
        <w:rPr>
          <w:rtl w:val="0"/>
        </w:rPr>
        <w:t xml:space="preserve"> Email 1 introduces Plantryx and one pain-specific insight: AI-native demand forecasting, supply planning, and inventory optimization for mid-market manufacturers. The ERP stays as the system of record; Plantryx replaces the Excel/manual planning layer on top of it.</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b w:val="1"/>
          <w:bCs w:val="1"/>
          <w:rtl w:val="0"/>
        </w:rPr>
        <w:t xml:space="preserve">CTA structure (our hypothesis — open to your view):</w:t>
      </w:r>
      <w:r w:rsidDel="00000000" w:rsidR="00000000" w:rsidRPr="00000000">
        <w:rPr>
          <w:rtl w:val="0"/>
        </w:rPr>
        <w:t xml:space="preserve"> primary CTA is a low-friction interest/permission question (e.g., "worth a look?" or "want me to send our 5-minute planning maturity check?"). Reply-based CTAs in early touches; no links in email 1 for deliverability reasons.</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b w:val="1"/>
          <w:bCs w:val="1"/>
          <w:rtl w:val="0"/>
        </w:rPr>
        <w:t xml:space="preserve">The Planning Maturity Diagnostic</w:t>
      </w:r>
      <w:r w:rsidDel="00000000" w:rsidR="00000000" w:rsidRPr="00000000">
        <w:rPr>
          <w:rtl w:val="0"/>
        </w:rPr>
        <w:t xml:space="preserve"> (5-minute self-assessment, ungated results) is the core follow-up asset: offered on reply, and featured as its own touch mid-sequence. A 20-minute founder call is the CTA for engaged repliers.</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b w:val="1"/>
          <w:bCs w:val="1"/>
          <w:rtl w:val="0"/>
        </w:rPr>
        <w:t xml:space="preserve">Claims discipline (fixed):</w:t>
      </w:r>
      <w:r w:rsidDel="00000000" w:rsidR="00000000" w:rsidRPr="00000000">
        <w:rPr>
          <w:rtl w:val="0"/>
        </w:rPr>
        <w:t xml:space="preserve"> only live capabilities in copy — forecasting, demand/supply planning, inventory optimization. No roadmap features. Never frame Plantryx as an ERP replacement.</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b w:val="1"/>
          <w:bCs w:val="1"/>
          <w:rtl w:val="0"/>
        </w:rPr>
        <w:t xml:space="preserve">Tone (fixed):</w:t>
      </w:r>
      <w:r w:rsidDel="00000000" w:rsidR="00000000" w:rsidRPr="00000000">
        <w:rPr>
          <w:rtl w:val="0"/>
        </w:rPr>
        <w:t xml:space="preserve"> specific and honest; no "AI replaces your planners" framing; one idea per email.</w:t>
      </w:r>
    </w:p>
    <w:p w:rsidR="00000000" w:rsidDel="00000000" w:rsidP="00000000" w:rsidRDefault="00000000" w:rsidRPr="00000000" w14:paraId="00000047">
      <w:pPr>
        <w:numPr>
          <w:ilvl w:val="0"/>
          <w:numId w:val="11"/>
        </w:numPr>
        <w:spacing w:after="240" w:before="0" w:beforeAutospacing="0" w:lineRule="auto"/>
        <w:ind w:left="720" w:hanging="360"/>
      </w:pPr>
      <w:r w:rsidDel="00000000" w:rsidR="00000000" w:rsidRPr="00000000">
        <w:rPr>
          <w:b w:val="1"/>
          <w:bCs w:val="1"/>
          <w:rtl w:val="0"/>
        </w:rPr>
        <w:t xml:space="preserve">Approval:</w:t>
      </w:r>
      <w:r w:rsidDel="00000000" w:rsidR="00000000" w:rsidRPr="00000000">
        <w:rPr>
          <w:rtl w:val="0"/>
        </w:rPr>
        <w:t xml:space="preserve"> all copy and a 50-row lead list sample approved by Plantryx before first send.</w:t>
      </w:r>
    </w:p>
    <w:p w:rsidR="00000000" w:rsidDel="00000000" w:rsidP="00000000" w:rsidRDefault="00000000" w:rsidRPr="00000000" w14:paraId="00000048">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crkhn0qehk8p" w:id="6"/>
      <w:bookmarkEnd w:id="6"/>
      <w:r w:rsidDel="00000000" w:rsidR="00000000" w:rsidRPr="00000000">
        <w:rPr>
          <w:b w:val="1"/>
          <w:bCs w:val="1"/>
          <w:sz w:val="34"/>
          <w:szCs w:val="34"/>
          <w:rtl w:val="0"/>
        </w:rPr>
        <w:t xml:space="preserve">5. Reporting Metrics — Our Position</w:t>
      </w:r>
    </w:p>
    <w:p w:rsidR="00000000" w:rsidDel="00000000" w:rsidP="00000000" w:rsidRDefault="00000000" w:rsidRPr="00000000" w14:paraId="0000004A">
      <w:pPr>
        <w:spacing w:after="240" w:before="240" w:lineRule="auto"/>
        <w:rPr/>
      </w:pPr>
      <w:r w:rsidDel="00000000" w:rsidR="00000000" w:rsidRPr="00000000">
        <w:rPr>
          <w:rtl w:val="0"/>
        </w:rPr>
        <w:t xml:space="preserve">We'd like bi-weekly reports structured around the following, in priority order:</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b w:val="1"/>
          <w:bCs w:val="1"/>
          <w:rtl w:val="0"/>
        </w:rPr>
        <w:t xml:space="preserve">Meetings booked</w:t>
      </w:r>
      <w:r w:rsidDel="00000000" w:rsidR="00000000" w:rsidRPr="00000000">
        <w:rPr>
          <w:rtl w:val="0"/>
        </w:rPr>
        <w:t xml:space="preserve"> (primary success metric)</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b w:val="1"/>
          <w:bCs w:val="1"/>
          <w:rtl w:val="0"/>
        </w:rPr>
        <w:t xml:space="preserve">Positive replies</w:t>
      </w:r>
      <w:r w:rsidDel="00000000" w:rsidR="00000000" w:rsidRPr="00000000">
        <w:rPr>
          <w:rtl w:val="0"/>
        </w:rPr>
        <w:t xml:space="preserve"> (interested / wants info / referral to right person)</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b w:val="1"/>
          <w:bCs w:val="1"/>
          <w:rtl w:val="0"/>
        </w:rPr>
        <w:t xml:space="preserve">Total replies and reply rate</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b w:val="1"/>
          <w:bCs w:val="1"/>
          <w:rtl w:val="0"/>
        </w:rPr>
        <w:t xml:space="preserve">Volume delivered</w:t>
      </w:r>
      <w:r w:rsidDel="00000000" w:rsidR="00000000" w:rsidRPr="00000000">
        <w:rPr>
          <w:rtl w:val="0"/>
        </w:rPr>
        <w:t xml:space="preserve"> (emails sent, bounces, deliverability health)</w:t>
      </w:r>
    </w:p>
    <w:p w:rsidR="00000000" w:rsidDel="00000000" w:rsidP="00000000" w:rsidRDefault="00000000" w:rsidRPr="00000000" w14:paraId="0000004F">
      <w:pPr>
        <w:numPr>
          <w:ilvl w:val="0"/>
          <w:numId w:val="9"/>
        </w:numPr>
        <w:spacing w:after="240" w:before="0" w:beforeAutospacing="0" w:lineRule="auto"/>
        <w:ind w:left="720" w:hanging="360"/>
      </w:pPr>
      <w:r w:rsidDel="00000000" w:rsidR="00000000" w:rsidRPr="00000000">
        <w:rPr>
          <w:rtl w:val="0"/>
        </w:rPr>
        <w:t xml:space="preserve">Opens/clicks — reported as supporting context only</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Why open rate is not a success metric by itself:</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b w:val="1"/>
          <w:bCs w:val="1"/>
          <w:rtl w:val="0"/>
        </w:rPr>
        <w:t xml:space="preserve">Open tracking is technically unreliable.</w:t>
      </w:r>
      <w:r w:rsidDel="00000000" w:rsidR="00000000" w:rsidRPr="00000000">
        <w:rPr>
          <w:rtl w:val="0"/>
        </w:rPr>
        <w:t xml:space="preserve"> Apple Mail Privacy Protection (a large share of B2B recipients) pre-fetches tracking pixels automatically, registering an "open" whether or not a human ever read the email. Corporate security gateways and link scanners (Microsoft Defender, Proofpoint, Mimecast — standard at manufacturers of our target size) do the same for both opens and clicks. Reported opens therefore contain significant machine-generated noise, and the noise share differs by recipient company, making open rates non-comparable across segments.</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b w:val="1"/>
          <w:bCs w:val="1"/>
          <w:rtl w:val="0"/>
        </w:rPr>
        <w:t xml:space="preserve">Opens carry no intent.</w:t>
      </w:r>
      <w:r w:rsidDel="00000000" w:rsidR="00000000" w:rsidRPr="00000000">
        <w:rPr>
          <w:rtl w:val="0"/>
        </w:rPr>
        <w:t xml:space="preserve"> An open cannot distinguish curiosity, accident, or a bot. Replies and meetings are human actions with intent — they are the only signals that predict pipeline.</w:t>
      </w:r>
    </w:p>
    <w:p w:rsidR="00000000" w:rsidDel="00000000" w:rsidP="00000000" w:rsidRDefault="00000000" w:rsidRPr="00000000" w14:paraId="00000053">
      <w:pPr>
        <w:numPr>
          <w:ilvl w:val="0"/>
          <w:numId w:val="12"/>
        </w:numPr>
        <w:spacing w:after="240" w:before="0" w:beforeAutospacing="0" w:lineRule="auto"/>
        <w:ind w:left="720" w:hanging="360"/>
      </w:pPr>
      <w:r w:rsidDel="00000000" w:rsidR="00000000" w:rsidRPr="00000000">
        <w:rPr>
          <w:b w:val="1"/>
          <w:bCs w:val="1"/>
          <w:rtl w:val="0"/>
        </w:rPr>
        <w:t xml:space="preserve">Practical consequence for this campaign:</w:t>
      </w:r>
      <w:r w:rsidDel="00000000" w:rsidR="00000000" w:rsidRPr="00000000">
        <w:rPr>
          <w:rtl w:val="0"/>
        </w:rPr>
        <w:t xml:space="preserve"> warm-lead triggers or optimization decisions based on opens will chase noise. Reply-based signals should drive prioritization, follow-up, and Month-2 optimization.</w:t>
      </w:r>
    </w:p>
    <w:p w:rsidR="00000000" w:rsidDel="00000000" w:rsidP="00000000" w:rsidRDefault="00000000" w:rsidRPr="00000000" w14:paraId="00000054">
      <w:pPr>
        <w:spacing w:after="240" w:before="240" w:lineRule="auto"/>
        <w:rPr/>
      </w:pPr>
      <w:r w:rsidDel="00000000" w:rsidR="00000000" w:rsidRPr="00000000">
        <w:rPr>
          <w:rtl w:val="0"/>
        </w:rPr>
        <w:t xml:space="preserve">To be equally clear on our side of the bargain: </w:t>
      </w:r>
      <w:r w:rsidDel="00000000" w:rsidR="00000000" w:rsidRPr="00000000">
        <w:rPr>
          <w:b w:val="1"/>
          <w:bCs w:val="1"/>
          <w:rtl w:val="0"/>
        </w:rPr>
        <w:t xml:space="preserve">we are not asking for a meeting guarantee.</w:t>
      </w:r>
      <w:r w:rsidDel="00000000" w:rsidR="00000000" w:rsidRPr="00000000">
        <w:rPr>
          <w:rtl w:val="0"/>
        </w:rPr>
        <w:t xml:space="preserve"> Conversion depends on our offer and messaging, which we own and approve. What we're aligning on is (a) the list matches the ICP above, and (b) reporting reflects the metrics that matter. If the list is right and replies are low, that's on our messaging — and we'll iterate on it together.</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