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Pair Analysis #01</w:t>
      </w:r>
    </w:p>
    <w:p>
      <w:pPr>
        <w:jc w:val="center"/>
      </w:pPr>
      <w:r>
        <w:rPr>
          <w:i/>
          <w:sz w:val="28"/>
        </w:rPr>
        <w:t>Fed November Rate Contract × VDE Energy ETF</w:t>
      </w:r>
    </w:p>
    <w:p/>
    <w:p>
      <w:pPr>
        <w:pStyle w:val="Heading1"/>
      </w:pPr>
      <w:r>
        <w:t>Pair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Field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Kalshi contract title</w:t>
            </w:r>
          </w:p>
        </w:tc>
        <w:tc>
          <w:tcPr>
            <w:tcW w:type="dxa" w:w="4986"/>
          </w:tcPr>
          <w:p>
            <w:r>
              <w:t>"Will the Federal Reserve Hike rates by 0bps at their November 2024 meeting?"</w:t>
            </w:r>
          </w:p>
        </w:tc>
      </w:tr>
      <w:tr>
        <w:tc>
          <w:tcPr>
            <w:tcW w:type="dxa" w:w="4986"/>
          </w:tcPr>
          <w:p>
            <w:r>
              <w:t>Contract ticker</w:t>
            </w:r>
          </w:p>
        </w:tc>
        <w:tc>
          <w:tcPr>
            <w:tcW w:type="dxa" w:w="4986"/>
          </w:tcPr>
          <w:p>
            <w:r>
              <w:t>FEDDECISION-24NOV-H0</w:t>
            </w:r>
          </w:p>
        </w:tc>
      </w:tr>
      <w:tr>
        <w:tc>
          <w:tcPr>
            <w:tcW w:type="dxa" w:w="4986"/>
          </w:tcPr>
          <w:p>
            <w:r>
              <w:t>Contract meaning</w:t>
            </w:r>
          </w:p>
        </w:tc>
        <w:tc>
          <w:tcPr>
            <w:tcW w:type="dxa" w:w="4986"/>
          </w:tcPr>
          <w:p>
            <w:r>
              <w:t>Probability that the Federal Reserve holds rates unchanged (0 bp hike) at the November 7, 2024 FOMC meeting</w:t>
            </w:r>
          </w:p>
        </w:tc>
      </w:tr>
      <w:tr>
        <w:tc>
          <w:tcPr>
            <w:tcW w:type="dxa" w:w="4986"/>
          </w:tcPr>
          <w:p>
            <w:r>
              <w:t>Paired ETF</w:t>
            </w:r>
          </w:p>
        </w:tc>
        <w:tc>
          <w:tcPr>
            <w:tcW w:type="dxa" w:w="4986"/>
          </w:tcPr>
          <w:p>
            <w:r>
              <w:t>VDE (Vanguard Energy ETF)</w:t>
            </w:r>
          </w:p>
        </w:tc>
      </w:tr>
      <w:tr>
        <w:tc>
          <w:tcPr>
            <w:tcW w:type="dxa" w:w="4986"/>
          </w:tcPr>
          <w:p>
            <w:r>
              <w:t>Analysis window</w:t>
            </w:r>
          </w:p>
        </w:tc>
        <w:tc>
          <w:tcPr>
            <w:tcW w:type="dxa" w:w="4986"/>
          </w:tcPr>
          <w:p>
            <w:r>
              <w:t>2024-09-18 → 2024-11-07 (~50 days, spanning from the September FOMC through the November FOMC decision day)</w:t>
            </w:r>
          </w:p>
        </w:tc>
      </w:tr>
      <w:tr>
        <w:tc>
          <w:tcPr>
            <w:tcW w:type="dxa" w:w="4986"/>
          </w:tcPr>
          <w:p>
            <w:r>
              <w:t>Data scale</w:t>
            </w:r>
          </w:p>
        </w:tc>
        <w:tc>
          <w:tcPr>
            <w:tcW w:type="dxa" w:w="4986"/>
          </w:tcPr>
          <w:p>
            <w:r>
              <w:t>1,080 Kalshi trades; 6,883,047 VDE ticks</w:t>
            </w:r>
          </w:p>
        </w:tc>
      </w:tr>
    </w:tbl>
    <w:p>
      <w:pPr>
        <w:pStyle w:val="Heading1"/>
      </w:pPr>
      <w:r>
        <w:t>1. Why We Chose This Pair</w:t>
      </w:r>
    </w:p>
    <w:p>
      <w:r>
        <w:t>Out of the 14 contracts × multiple ETFs with credible regression results in leadlag_event_unified_kalshi_etf.csv, this pair scores best on six dimensions: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Dimension</w:t>
            </w:r>
          </w:p>
        </w:tc>
        <w:tc>
          <w:tcPr>
            <w:tcW w:type="dxa" w:w="3324"/>
          </w:tcPr>
          <w:p>
            <w:r>
              <w:t>Value</w:t>
            </w:r>
          </w:p>
        </w:tc>
        <w:tc>
          <w:tcPr>
            <w:tcW w:type="dxa" w:w="3324"/>
          </w:tcPr>
          <w:p>
            <w:r>
              <w:t>Assessment</w:t>
            </w:r>
          </w:p>
        </w:tc>
      </w:tr>
      <w:tr>
        <w:tc>
          <w:tcPr>
            <w:tcW w:type="dxa" w:w="3324"/>
          </w:tcPr>
          <w:p>
            <w:r>
              <w:t>Sample size</w:t>
            </w:r>
          </w:p>
        </w:tc>
        <w:tc>
          <w:tcPr>
            <w:tcW w:type="dxa" w:w="3324"/>
          </w:tcPr>
          <w:p>
            <w:r>
              <w:t>n_obs = 360</w:t>
            </w:r>
          </w:p>
        </w:tc>
        <w:tc>
          <w:tcPr>
            <w:tcW w:type="dxa" w:w="3324"/>
          </w:tcPr>
          <w:p>
            <w:r>
              <w:t>Medium-large, dense enough for time-series plots</w:t>
            </w:r>
          </w:p>
        </w:tc>
      </w:tr>
      <w:tr>
        <w:tc>
          <w:tcPr>
            <w:tcW w:type="dxa" w:w="3324"/>
          </w:tcPr>
          <w:p>
            <w:r>
              <w:t>Significant coefficients</w:t>
            </w:r>
          </w:p>
        </w:tc>
        <w:tc>
          <w:tcPr>
            <w:tcW w:type="dxa" w:w="3324"/>
          </w:tcPr>
          <w:p>
            <w:r>
              <w:t>7 (p &lt; 0.05)</w:t>
            </w:r>
          </w:p>
        </w:tc>
        <w:tc>
          <w:tcPr>
            <w:tcW w:type="dxa" w:w="3324"/>
          </w:tcPr>
          <w:p>
            <w:r>
              <w:t>Concentrated signal</w:t>
            </w:r>
          </w:p>
        </w:tc>
      </w:tr>
      <w:tr>
        <w:tc>
          <w:tcPr>
            <w:tcW w:type="dxa" w:w="3324"/>
          </w:tcPr>
          <w:p>
            <w:r>
              <w:t>Sign consistency</w:t>
            </w:r>
          </w:p>
        </w:tc>
        <w:tc>
          <w:tcPr>
            <w:tcW w:type="dxa" w:w="3324"/>
          </w:tcPr>
          <w:p>
            <w:r>
              <w:t>7 negative, 0 positive</w:t>
            </w:r>
          </w:p>
        </w:tc>
        <w:tc>
          <w:tcPr>
            <w:tcW w:type="dxa" w:w="3324"/>
          </w:tcPr>
          <w:p>
            <w:r>
              <w:t>Zero contradictions, clean narrative</w:t>
            </w:r>
          </w:p>
        </w:tc>
      </w:tr>
      <w:tr>
        <w:tc>
          <w:tcPr>
            <w:tcW w:type="dxa" w:w="3324"/>
          </w:tcPr>
          <w:p>
            <w:r>
              <w:t>Economic meaning</w:t>
            </w:r>
          </w:p>
        </w:tc>
        <w:tc>
          <w:tcPr>
            <w:tcW w:type="dxa" w:w="3324"/>
          </w:tcPr>
          <w:p>
            <w:r>
              <w:t>P(no Fed change) ↑ → energy stocks ↓</w:t>
            </w:r>
          </w:p>
        </w:tc>
        <w:tc>
          <w:tcPr>
            <w:tcW w:type="dxa" w:w="3324"/>
          </w:tcPr>
          <w:p>
            <w:r>
              <w:t>Textbook rate-sensitive sector reaction</w:t>
            </w:r>
          </w:p>
        </w:tc>
      </w:tr>
      <w:tr>
        <w:tc>
          <w:tcPr>
            <w:tcW w:type="dxa" w:w="3324"/>
          </w:tcPr>
          <w:p>
            <w:r>
              <w:t>Event anchors</w:t>
            </w:r>
          </w:p>
        </w:tc>
        <w:tc>
          <w:tcPr>
            <w:tcW w:type="dxa" w:w="3324"/>
          </w:tcPr>
          <w:p>
            <w:r>
              <w:t>FOMC speakers + CPI / Retail Sales</w:t>
            </w:r>
          </w:p>
        </w:tc>
        <w:tc>
          <w:tcPr>
            <w:tcW w:type="dxa" w:w="3324"/>
          </w:tcPr>
          <w:p>
            <w:r>
              <w:t>Clear news → price causal windows</w:t>
            </w:r>
          </w:p>
        </w:tc>
      </w:tr>
      <w:tr>
        <w:tc>
          <w:tcPr>
            <w:tcW w:type="dxa" w:w="3324"/>
          </w:tcPr>
          <w:p>
            <w:r>
              <w:t>Liquidity profile</w:t>
            </w:r>
          </w:p>
        </w:tc>
        <w:tc>
          <w:tcPr>
            <w:tcW w:type="dxa" w:w="3324"/>
          </w:tcPr>
          <w:p>
            <w:r>
              <w:t>Kalshi 1,082 trades; VDE 6.9M ticks</w:t>
            </w:r>
          </w:p>
        </w:tc>
        <w:tc>
          <w:tcPr>
            <w:tcW w:type="dxa" w:w="3324"/>
          </w:tcPr>
          <w:p>
            <w:r>
              <w:t>Ideal for observing lead-lag</w:t>
            </w:r>
          </w:p>
        </w:tc>
      </w:tr>
    </w:tbl>
    <w:p/>
    <w:p>
      <w:r>
        <w:rPr>
          <w:b/>
        </w:rPr>
        <w:t xml:space="preserve">Deliberately not chosen: </w:t>
      </w:r>
      <w:r>
        <w:t xml:space="preserve">KXFEDDECISION-24DEC-C25 (the contract with the largest sample, n_obs = 1,887). Despite having the most observations, it has very few significant coefficients — consistent with EMH: the most liquid contracts are already priced synchronously by both markets, leaving no visible lead-lag. </w:t>
      </w:r>
      <w:r>
        <w:rPr>
          <w:b/>
        </w:rPr>
        <w:t>Medium-liquidity pairs are where lead-lag signals live.</w:t>
      </w:r>
    </w:p>
    <w:p>
      <w:pPr>
        <w:pStyle w:val="Heading1"/>
      </w:pPr>
      <w:r>
        <w:t>2. Three Figures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File</w:t>
            </w:r>
          </w:p>
        </w:tc>
        <w:tc>
          <w:tcPr>
            <w:tcW w:type="dxa" w:w="3324"/>
          </w:tcPr>
          <w:p>
            <w:r>
              <w:t>Time resolution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fed_nov_h0_vde_overview.png</w:t>
            </w:r>
          </w:p>
        </w:tc>
        <w:tc>
          <w:tcPr>
            <w:tcW w:type="dxa" w:w="3324"/>
          </w:tcPr>
          <w:p>
            <w:r>
              <w:t>1-min bars (VDE), tick (Kalshi)</w:t>
            </w:r>
          </w:p>
        </w:tc>
        <w:tc>
          <w:tcPr>
            <w:tcW w:type="dxa" w:w="3324"/>
          </w:tcPr>
          <w:p>
            <w:r>
              <w:t>Macro-level inverse correlation across full window</w:t>
            </w:r>
          </w:p>
        </w:tc>
      </w:tr>
      <w:tr>
        <w:tc>
          <w:tcPr>
            <w:tcW w:type="dxa" w:w="3324"/>
          </w:tcPr>
          <w:p>
            <w:r>
              <w:t>fed_nov_h0_vde_event_zooms.png</w:t>
            </w:r>
          </w:p>
        </w:tc>
        <w:tc>
          <w:tcPr>
            <w:tcW w:type="dxa" w:w="3324"/>
          </w:tcPr>
          <w:p>
            <w:r>
              <w:t>10-second bars (VDE), tick (Kalshi)</w:t>
            </w:r>
          </w:p>
        </w:tc>
        <w:tc>
          <w:tcPr>
            <w:tcW w:type="dxa" w:w="3324"/>
          </w:tcPr>
          <w:p>
            <w:r>
              <w:t>Three intraday event-day dynamics</w:t>
            </w:r>
          </w:p>
        </w:tc>
      </w:tr>
      <w:tr>
        <w:tc>
          <w:tcPr>
            <w:tcW w:type="dxa" w:w="3324"/>
          </w:tcPr>
          <w:p>
            <w:r>
              <w:t>fed_nov_h0_vde_tick_zooms.png</w:t>
            </w:r>
          </w:p>
        </w:tc>
        <w:tc>
          <w:tcPr>
            <w:tcW w:type="dxa" w:w="3324"/>
          </w:tcPr>
          <w:p>
            <w:r>
              <w:t>Every tick / every trade, no resampling</w:t>
            </w:r>
          </w:p>
        </w:tc>
        <w:tc>
          <w:tcPr>
            <w:tcW w:type="dxa" w:w="3324"/>
          </w:tcPr>
          <w:p>
            <w:r>
              <w:t>Second-level / tick-level lead-lag adjudication</w:t>
            </w:r>
          </w:p>
        </w:tc>
      </w:tr>
    </w:tbl>
    <w:p>
      <w:pPr>
        <w:pStyle w:val="Heading1"/>
      </w:pPr>
      <w:r>
        <w:t>3. Figure 1 — Full-Window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22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nov_h0_vd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Kalshi probability (red, left axis) vs VDE mid price (blue, right axis), 2024-09-18 to 2024-11-07.</w:t>
      </w:r>
    </w:p>
    <w:p>
      <w:pPr>
        <w:pStyle w:val="Heading2"/>
      </w:pPr>
      <w:r>
        <w:t>What to look at</w:t>
      </w:r>
    </w:p>
    <w:p>
      <w:pPr>
        <w:pStyle w:val="ListBullet"/>
      </w:pPr>
      <w:r>
        <w:rPr>
          <w:b/>
        </w:rPr>
        <w:t>Kalshi probability (red):</w:t>
      </w:r>
      <w:r>
        <w:t xml:space="preserve"> ~5% in late September → peak ~28% in mid-October → crashed to 1% on November 7 FOMC day</w:t>
      </w:r>
    </w:p>
    <w:p>
      <w:pPr>
        <w:pStyle w:val="ListBullet"/>
      </w:pPr>
      <w:r>
        <w:rPr>
          <w:b/>
        </w:rPr>
        <w:t>VDE price (blue):</w:t>
      </w:r>
      <w:r>
        <w:t xml:space="preserve"> ~129 in late September → bottomed at ~122 in mid-October → recovered to ~130 by November 7</w:t>
      </w:r>
    </w:p>
    <w:p>
      <w:pPr>
        <w:pStyle w:val="Heading2"/>
      </w:pPr>
      <w:r>
        <w:t>What we found</w:t>
      </w:r>
    </w:p>
    <w:p>
      <w:r>
        <w:rPr>
          <w:b/>
        </w:rPr>
        <w:t xml:space="preserve">The inverse correlation across the full 50-day window is visible to the naked eye. </w:t>
      </w:r>
      <w:r>
        <w:t>Whenever Kalshi probability rose, VDE fell in sync; whenever Kalshi probability fell, VDE recovered. The purpose of this figure is sanity check — confirming that the 7 negative coefficients from the main regression are not statistical artifacts but reflect a real macro-structural pattern visible in the raw price series.</w:t>
      </w:r>
    </w:p>
    <w:p>
      <w:pPr>
        <w:pStyle w:val="Heading2"/>
      </w:pPr>
      <w:r>
        <w:t>Limitation</w:t>
      </w:r>
    </w:p>
    <w:p>
      <w:r>
        <w:t>Resolution is too coarse to tell who moves first. We can only say 'the two are inversely correlated', not 'who leads whom'. This is exactly why Figures 2 and 3 are needed.</w:t>
      </w:r>
    </w:p>
    <w:p>
      <w:pPr>
        <w:pStyle w:val="Heading1"/>
      </w:pPr>
      <w:r>
        <w:t>4. Figure 2 — Three Event-Day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6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nov_h0_vde_event_z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Three intraday event-day zooms during US equity market hours, all with both markets simultaneously active.</w:t>
      </w:r>
    </w:p>
    <w:p>
      <w:pPr>
        <w:pStyle w:val="Heading2"/>
      </w:pPr>
      <w:r>
        <w:t>Event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Panel</w:t>
            </w:r>
          </w:p>
        </w:tc>
        <w:tc>
          <w:tcPr>
            <w:tcW w:type="dxa" w:w="3324"/>
          </w:tcPr>
          <w:p>
            <w:r>
              <w:t>Date (UTC)</w:t>
            </w:r>
          </w:p>
        </w:tc>
        <w:tc>
          <w:tcPr>
            <w:tcW w:type="dxa" w:w="3324"/>
          </w:tcPr>
          <w:p>
            <w:r>
              <w:t>Event</w:t>
            </w:r>
          </w:p>
        </w:tc>
      </w:tr>
      <w:tr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2024-09-18 17:30–19:30</w:t>
            </w:r>
          </w:p>
        </w:tc>
        <w:tc>
          <w:tcPr>
            <w:tcW w:type="dxa" w:w="3324"/>
          </w:tcPr>
          <w:p>
            <w:r>
              <w:t>September FOMC decision (Fed cut 50 bp at 14:00 ET; Powell press conf at 14:30 ET)</w:t>
            </w:r>
          </w:p>
        </w:tc>
      </w:tr>
      <w:tr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2024-10-10 13:30–19:00</w:t>
            </w:r>
          </w:p>
        </w:tc>
        <w:tc>
          <w:tcPr>
            <w:tcW w:type="dxa" w:w="3324"/>
          </w:tcPr>
          <w:p>
            <w:r>
              <w:t>September CPI release (8:30 ET, hotter than expected)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2024-10-17 13:30–18:00</w:t>
            </w:r>
          </w:p>
        </w:tc>
        <w:tc>
          <w:tcPr>
            <w:tcW w:type="dxa" w:w="3324"/>
          </w:tcPr>
          <w:p>
            <w:r>
              <w:t>September Retail Sales + Initial Jobless Claims (8:30 ET, strong economy)</w:t>
            </w:r>
          </w:p>
        </w:tc>
      </w:tr>
    </w:tbl>
    <w:p>
      <w:pPr>
        <w:pStyle w:val="Heading2"/>
      </w:pPr>
      <w:r>
        <w:t>Panel A — Sep 18 FOMC</w:t>
      </w:r>
    </w:p>
    <w:p>
      <w:pPr>
        <w:pStyle w:val="ListBullet"/>
      </w:pPr>
      <w:r>
        <w:rPr>
          <w:b/>
        </w:rPr>
        <w:t>18:00 UTC (FOMC decision moment):</w:t>
      </w:r>
      <w:r>
        <w:t xml:space="preserve"> VDE shows mild reaction</w:t>
      </w:r>
    </w:p>
    <w:p>
      <w:pPr>
        <w:pStyle w:val="ListBullet"/>
      </w:pPr>
      <w:r>
        <w:rPr>
          <w:b/>
        </w:rPr>
        <w:t>18:07 UTC:</w:t>
      </w:r>
      <w:r>
        <w:t xml:space="preserve"> Kalshi suddenly jumps from 5¢ to 28¢ and back to 5¢, lasting only 16 seconds</w:t>
      </w:r>
    </w:p>
    <w:p>
      <w:pPr>
        <w:pStyle w:val="ListBullet"/>
      </w:pPr>
      <w:r>
        <w:rPr>
          <w:b/>
        </w:rPr>
        <w:t>18:30 UTC (Powell press conference):</w:t>
      </w:r>
      <w:r>
        <w:t xml:space="preserve"> VDE begins a systematic directional move</w:t>
      </w:r>
    </w:p>
    <w:p>
      <w:r>
        <w:t>→ The FOMC decision itself is "homogeneous information to all participants" — both markets react roughly synchronously.</w:t>
      </w:r>
    </w:p>
    <w:p>
      <w:pPr>
        <w:pStyle w:val="Heading2"/>
      </w:pPr>
      <w:r>
        <w:t>Panel B — Oct 10 CPI Day</w:t>
      </w:r>
    </w:p>
    <w:p>
      <w:r>
        <w:t>CPI released at 8:30 ET. Four hours after US equity open (13:30 ET), Kalshi jumps from ~20 to 25 at 16:55 UTC.</w:t>
      </w:r>
    </w:p>
    <w:p>
      <w:r>
        <w:rPr>
          <w:b/>
        </w:rPr>
        <w:t>Critical observation: VDE was already trending up before Kalshi jumped.</w:t>
      </w:r>
    </w:p>
    <w:p>
      <w:r>
        <w:t>→ Initial sign: VDE leads Kalshi.</w:t>
      </w:r>
    </w:p>
    <w:p>
      <w:pPr>
        <w:pStyle w:val="Heading2"/>
      </w:pPr>
      <w:r>
        <w:t>Panel C — Oct 17 Retail Sales Day</w:t>
      </w:r>
    </w:p>
    <w:p>
      <w:r>
        <w:t>Data released at 8:30 ET. Kalshi stays quiet until jumping 15 → 23 at 11:42 ET (15:42 UTC).</w:t>
      </w:r>
    </w:p>
    <w:p>
      <w:r>
        <w:rPr>
          <w:b/>
        </w:rPr>
        <w:t>VDE has been declining since 15:00 UTC — by the time Kalshi reacts, VDE has already dropped for half an hour.</w:t>
      </w:r>
    </w:p>
    <w:p>
      <w:r>
        <w:t>→ Stronger sign: VDE leads Kalshi by ~30 minutes.</w:t>
      </w:r>
    </w:p>
    <w:p>
      <w:pPr>
        <w:pStyle w:val="Heading2"/>
      </w:pPr>
      <w:r>
        <w:t>Limitation</w:t>
      </w:r>
    </w:p>
    <w:p>
      <w:r>
        <w:t>10-second bars are still too coarse. Panel A's 16-second Kalshi spike is conspicuous, but we don't know what VDE did at each tick during those 16 seconds. Figure 3 is needed to settle this.</w:t>
      </w:r>
    </w:p>
    <w:p>
      <w:pPr>
        <w:pStyle w:val="Heading1"/>
      </w:pPr>
      <w:r>
        <w:t>5. Figure 3 — Tick-Level Zooms ⭐ Core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4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_nov_h0_vde_tick_zoo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Tick-level zooms with every VDE quote and every Kalshi trade (yes-price annotated). No resampling.</w:t>
      </w:r>
    </w:p>
    <w:p>
      <w:pPr>
        <w:pStyle w:val="Heading2"/>
      </w:pPr>
      <w:r>
        <w:t>Panel A — Sep 18 FOMC 18:00–18:15 UTC</w:t>
      </w:r>
    </w:p>
    <w:p>
      <w:pPr>
        <w:pStyle w:val="ListBullet"/>
      </w:pPr>
      <w:r>
        <w:t>13 Kalshi trades + 14,210 VDE quotes</w:t>
      </w:r>
    </w:p>
    <w:p>
      <w:pPr>
        <w:pStyle w:val="ListBullet"/>
      </w:pPr>
      <w:r>
        <w:t>The lone red spike to 28¢ at 18:07:23 — all other Kalshi trades sit in the 5–7¢ range</w:t>
      </w:r>
    </w:p>
    <w:p>
      <w:pPr>
        <w:pStyle w:val="ListBullet"/>
      </w:pPr>
      <w:r>
        <w:t>VDE shows no corresponding reaction during those 16 seconds</w:t>
      </w:r>
    </w:p>
    <w:p>
      <w:r>
        <w:rPr>
          <w:b/>
        </w:rPr>
        <w:t xml:space="preserve">Conclusion: </w:t>
      </w:r>
      <w:r>
        <w:t xml:space="preserve">That single 28¢ trade is an anomalous one-off (fat finger / algo-triggered stop), arbitraged back within 16 seconds. </w:t>
      </w:r>
      <w:r>
        <w:rPr>
          <w:b/>
        </w:rPr>
        <w:t>Nobody believed that 28¢ was real information — neither market moved.</w:t>
      </w:r>
    </w:p>
    <w:p>
      <w:pPr>
        <w:pStyle w:val="Heading2"/>
      </w:pPr>
      <w:r>
        <w:t>Panel B — Oct 10 CPI Day 16:30–17:30 UTC  ⭐ Cleanest Evidence</w:t>
      </w:r>
    </w:p>
    <w:p>
      <w:pPr>
        <w:pStyle w:val="ListBullet"/>
      </w:pPr>
      <w:r>
        <w:t>10 Kalshi trades: 18¢ → 22¢ → 25¢ (jump at 16:55) → 24¢</w:t>
      </w:r>
    </w:p>
    <w:p>
      <w:pPr>
        <w:pStyle w:val="ListBullet"/>
      </w:pPr>
      <w:r>
        <w:t>VDE already climbing from 128.85 to 129.4 starting at 16:30 — roughly 25 minutes ahead of Kalshi</w:t>
      </w:r>
    </w:p>
    <w:p>
      <w:pPr>
        <w:pStyle w:val="ListBullet"/>
      </w:pPr>
      <w:r>
        <w:t>By the time Kalshi hits 25¢ at 16:55, VDE is already near its intraday peak</w:t>
      </w:r>
    </w:p>
    <w:p>
      <w:r>
        <w:rPr>
          <w:b/>
        </w:rPr>
        <w:t>→ VDE leads Kalshi by 25 minutes, unambiguously.</w:t>
      </w:r>
    </w:p>
    <w:p>
      <w:pPr>
        <w:pStyle w:val="Heading2"/>
      </w:pPr>
      <w:r>
        <w:t>Panel C — Oct 17 15:15–16:30 UTC</w:t>
      </w:r>
    </w:p>
    <w:p>
      <w:pPr>
        <w:pStyle w:val="ListBullet"/>
      </w:pPr>
      <w:r>
        <w:t>Only 2 Kalshi trades: 15¢ → 23¢ (jump at 15:42)</w:t>
      </w:r>
    </w:p>
    <w:p>
      <w:pPr>
        <w:pStyle w:val="ListBullet"/>
      </w:pPr>
      <w:r>
        <w:t>VDE has been sliding from 126.1 to 125.7 since 15:15 — 27 minutes of unidirectional decline before Kalshi reacted</w:t>
      </w:r>
    </w:p>
    <w:p>
      <w:r>
        <w:rPr>
          <w:b/>
        </w:rPr>
        <w:t>→ VDE leads Kalshi by 27 minutes.</w:t>
      </w:r>
    </w:p>
    <w:p>
      <w:pPr>
        <w:pStyle w:val="Heading1"/>
      </w:pPr>
      <w:r>
        <w:t>6. Synthesis — The Real Lead-Lag Story for This Pair</w:t>
      </w:r>
    </w:p>
    <w:p>
      <w:r>
        <w:rPr>
          <w:b/>
          <w:sz w:val="24"/>
        </w:rPr>
        <w:t>During digestion of mid-magnitude macro news, VDE (the high-liquidity energy ETF) leads Kalshi (the prediction market) by 20–30 minutes.</w:t>
      </w:r>
    </w:p>
    <w:p>
      <w:r>
        <w:t>This conclusion is simultaneously supported by three lines of evidence: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Evidence type</w:t>
            </w:r>
          </w:p>
        </w:tc>
        <w:tc>
          <w:tcPr>
            <w:tcW w:type="dxa" w:w="3324"/>
          </w:tcPr>
          <w:p>
            <w:r>
              <w:t>Source</w:t>
            </w:r>
          </w:p>
        </w:tc>
        <w:tc>
          <w:tcPr>
            <w:tcW w:type="dxa" w:w="3324"/>
          </w:tcPr>
          <w:p>
            <w:r>
              <w:t>Content</w:t>
            </w:r>
          </w:p>
        </w:tc>
      </w:tr>
      <w:tr>
        <w:tc>
          <w:tcPr>
            <w:tcW w:type="dxa" w:w="3324"/>
          </w:tcPr>
          <w:p>
            <w:r>
              <w:t>Statistical</w:t>
            </w:r>
          </w:p>
        </w:tc>
        <w:tc>
          <w:tcPr>
            <w:tcW w:type="dxa" w:w="3324"/>
          </w:tcPr>
          <w:p>
            <w:r>
              <w:t>leadlag_event_unified_kalshi_etf.csv</w:t>
            </w:r>
          </w:p>
        </w:tc>
        <w:tc>
          <w:tcPr>
            <w:tcW w:type="dxa" w:w="3324"/>
          </w:tcPr>
          <w:p>
            <w:r>
              <w:t>7 significant coefficients, all negative; etf_leads_kalshi direction has more significant coefs than kalshi_leads_etf</w:t>
            </w:r>
          </w:p>
        </w:tc>
      </w:tr>
      <w:tr>
        <w:tc>
          <w:tcPr>
            <w:tcW w:type="dxa" w:w="3324"/>
          </w:tcPr>
          <w:p>
            <w:r>
              <w:t>Macro visual</w:t>
            </w:r>
          </w:p>
        </w:tc>
        <w:tc>
          <w:tcPr>
            <w:tcW w:type="dxa" w:w="3324"/>
          </w:tcPr>
          <w:p>
            <w:r>
              <w:t>Figure 1</w:t>
            </w:r>
          </w:p>
        </w:tc>
        <w:tc>
          <w:tcPr>
            <w:tcW w:type="dxa" w:w="3324"/>
          </w:tcPr>
          <w:p>
            <w:r>
              <w:t>50-day inverse correlation is uncontestable</w:t>
            </w:r>
          </w:p>
        </w:tc>
      </w:tr>
      <w:tr>
        <w:tc>
          <w:tcPr>
            <w:tcW w:type="dxa" w:w="3324"/>
          </w:tcPr>
          <w:p>
            <w:r>
              <w:t>Micro visual</w:t>
            </w:r>
          </w:p>
        </w:tc>
        <w:tc>
          <w:tcPr>
            <w:tcW w:type="dxa" w:w="3324"/>
          </w:tcPr>
          <w:p>
            <w:r>
              <w:t>Figure 3 Panels B &amp; C</w:t>
            </w:r>
          </w:p>
        </w:tc>
        <w:tc>
          <w:tcPr>
            <w:tcW w:type="dxa" w:w="3324"/>
          </w:tcPr>
          <w:p>
            <w:r>
              <w:t>Tick-level evidence of VDE leading Kalshi by 20–30 minutes</w:t>
            </w:r>
          </w:p>
        </w:tc>
      </w:tr>
    </w:tbl>
    <w:p>
      <w:pPr>
        <w:pStyle w:val="Heading2"/>
      </w:pPr>
      <w:r>
        <w:t>Economic interpretation</w:t>
      </w:r>
    </w:p>
    <w:p>
      <w:pPr>
        <w:pStyle w:val="ListBullet"/>
      </w:pPr>
      <w:r>
        <w:rPr>
          <w:b/>
        </w:rPr>
        <w:t>VDE side:</w:t>
      </w:r>
      <w:r>
        <w:t xml:space="preserve"> Professional commodity and macro traders watching live; Fed policy, oil prices, and macro data releases are reflected algorithmically at the second-to-minute scale in VDE price</w:t>
      </w:r>
    </w:p>
    <w:p>
      <w:pPr>
        <w:pStyle w:val="ListBullet"/>
      </w:pPr>
      <w:r>
        <w:rPr>
          <w:b/>
        </w:rPr>
        <w:t>Kalshi side:</w:t>
      </w:r>
      <w:r>
        <w:t xml:space="preserve"> Prediction market participants are more passive trackers — they wait until they see financial markets reacting (e.g., VDE has already moved), then adjust their Fed-probability bets</w:t>
      </w:r>
    </w:p>
    <w:p>
      <w:pPr>
        <w:pStyle w:val="ListBullet"/>
      </w:pPr>
      <w:r>
        <w:rPr>
          <w:b/>
        </w:rPr>
        <w:t>One exception:</w:t>
      </w:r>
      <w:r>
        <w:t xml:space="preserve"> The FOMC decision moment itself — when information is "zero-cost and identical to all participants" — sees both markets move roughly in sync (Figure 3 Panel A)</w:t>
      </w:r>
    </w:p>
    <w:p>
      <w:pPr>
        <w:pStyle w:val="Heading2"/>
      </w:pPr>
      <w:r>
        <w:t>Research value of this finding</w:t>
      </w:r>
    </w:p>
    <w:p>
      <w:pPr>
        <w:pStyle w:val="ListBullet"/>
      </w:pPr>
      <w:r>
        <w:rPr>
          <w:b/>
        </w:rPr>
        <w:t>Refutes a naive hypothesis:</w:t>
      </w:r>
      <w:r>
        <w:t xml:space="preserve"> "Prediction markets always lead" — at least not on this pair</w:t>
      </w:r>
    </w:p>
    <w:p>
      <w:pPr>
        <w:pStyle w:val="ListBullet"/>
      </w:pPr>
      <w:r>
        <w:rPr>
          <w:b/>
        </w:rPr>
        <w:t>Confirms Hasbrouck-style price discovery:</w:t>
      </w:r>
      <w:r>
        <w:t xml:space="preserve"> The more liquid market carries more of the price-discovery burden</w:t>
      </w:r>
    </w:p>
    <w:p>
      <w:pPr>
        <w:pStyle w:val="ListBullet"/>
      </w:pPr>
      <w:r>
        <w:rPr>
          <w:b/>
        </w:rPr>
        <w:t>Provides direction for subsequent Local Projections:</w:t>
      </w:r>
      <w:r>
        <w:t xml:space="preserve"> Use ETF shocks as the LP input for VDE; use ETF lags as the LP input for Kalshi</w:t>
      </w:r>
    </w:p>
    <w:p>
      <w:pPr>
        <w:pStyle w:val="Heading1"/>
      </w:pPr>
      <w:r>
        <w:t>7. Limitations and Open Questions</w:t>
      </w:r>
    </w:p>
    <w:p>
      <w:pPr>
        <w:pStyle w:val="ListNumber"/>
      </w:pPr>
      <w:r>
        <w:rPr>
          <w:b/>
        </w:rPr>
        <w:t>Sample range:</w:t>
      </w:r>
      <w:r>
        <w:t xml:space="preserve"> Only through November 7 FOMC; after the resolution date the contract barely trades (its outcome is known) — no out-of-sample validation</w:t>
      </w:r>
    </w:p>
    <w:p>
      <w:pPr>
        <w:pStyle w:val="ListNumber"/>
      </w:pPr>
      <w:r>
        <w:rPr>
          <w:b/>
        </w:rPr>
        <w:t>Causality of VDE leadership:</w:t>
      </w:r>
      <w:r>
        <w:t xml:space="preserve"> VDE temporally moves first, but we cannot rule out that both markets are driven by an unobserved common macro factor (e.g., a hedge fund placing simultaneous orders in both markets, with the apparent lead just reflecting routing-speed differences)</w:t>
      </w:r>
    </w:p>
    <w:p>
      <w:pPr>
        <w:pStyle w:val="ListNumber"/>
      </w:pPr>
      <w:r>
        <w:rPr>
          <w:b/>
        </w:rPr>
        <w:t>The 28¢ anomaly in Panel A:</w:t>
      </w:r>
      <w:r>
        <w:t xml:space="preserve"> Although classified as an isolated mistake, cross-validation against Kalshi order book data (whether there was a large aggressive taker) would strengthen the call</w:t>
      </w:r>
    </w:p>
    <w:p>
      <w:pPr>
        <w:pStyle w:val="ListNumber"/>
      </w:pPr>
      <w:r>
        <w:rPr>
          <w:b/>
        </w:rPr>
        <w:t>"Leads by how many minutes" not quantified:</w:t>
      </w:r>
      <w:r>
        <w:t xml:space="preserve"> The "20–30 minutes" is descriptive. Precise quantification requires Local Projections (next-stage analysis)</w:t>
      </w:r>
    </w:p>
    <w:p>
      <w:pPr>
        <w:pStyle w:val="Heading1"/>
      </w:pPr>
      <w:r>
        <w:t>8. File Inventory</w:t>
      </w:r>
    </w:p>
    <w:p>
      <w:r>
        <w:rPr>
          <w:rFonts w:ascii="Menlo" w:hAnsi="Menlo"/>
          <w:sz w:val="18"/>
        </w:rPr>
        <w:t>01_fed_nov_h0__vde/</w:t>
        <w:br/>
        <w:t>├── ANALYSIS.md                                   (this document in markdown)</w:t>
        <w:br/>
        <w:t>├── ANALYSIS.docx                                 (this document, Word with figures)</w:t>
        <w:br/>
        <w:t>├── plot_fed_nov_vde.py                           (script producing all 3 figures)</w:t>
        <w:br/>
        <w:t>└── plots/</w:t>
        <w:br/>
        <w:t xml:space="preserve">    ├── fed_nov_h0_vde_overview.png               (Figure 1)</w:t>
        <w:br/>
        <w:t xml:space="preserve">    ├── fed_nov_h0_vde_event_zooms.png            (Figure 2)</w:t>
        <w:br/>
        <w:t xml:space="preserve">    └── fed_nov_h0_vde_tick_zooms.png             (Figure 3)</w:t>
      </w:r>
    </w:p>
    <w:p>
      <w:r>
        <w:t>Reproduce from the Durf/ root:</w:t>
      </w:r>
    </w:p>
    <w:p>
      <w:r>
        <w:rPr>
          <w:rFonts w:ascii="Menlo" w:hAnsi="Menlo"/>
          <w:sz w:val="20"/>
        </w:rPr>
        <w:t>python leadlag/pair_analyses/01_fed_nov_h0__vde/plot_fed_nov_vde.py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