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77096" w14:textId="77777777" w:rsidR="00453AA7" w:rsidRDefault="00453AA7" w:rsidP="00366540">
      <w:pPr>
        <w:pStyle w:val="Title"/>
        <w:jc w:val="both"/>
      </w:pPr>
      <w:r w:rsidRPr="00453AA7">
        <w:t>Challenges in the Digital Forensic Investigation of Agentic AI in Autonomous Vehicles</w:t>
      </w:r>
    </w:p>
    <w:p w14:paraId="0CD6813D" w14:textId="55ED571B" w:rsidR="00001EDE" w:rsidRPr="00001EDE" w:rsidRDefault="00001EDE" w:rsidP="00001EDE">
      <w:r>
        <w:t>Angela Mison</w:t>
      </w:r>
    </w:p>
    <w:p w14:paraId="44C5E337" w14:textId="77777777" w:rsidR="00453AA7" w:rsidRDefault="00453AA7" w:rsidP="00366540">
      <w:pPr>
        <w:pStyle w:val="Heading1"/>
        <w:jc w:val="both"/>
      </w:pPr>
      <w:r w:rsidRPr="00453AA7">
        <w:t xml:space="preserve">Abstract </w:t>
      </w:r>
    </w:p>
    <w:p w14:paraId="65471497" w14:textId="71C76C57" w:rsidR="00453AA7" w:rsidRPr="00453AA7" w:rsidRDefault="00453AA7" w:rsidP="00366540">
      <w:pPr>
        <w:jc w:val="both"/>
        <w:rPr>
          <w:rFonts w:cstheme="minorHAnsi"/>
          <w:sz w:val="22"/>
          <w:szCs w:val="22"/>
        </w:rPr>
      </w:pPr>
      <w:r w:rsidRPr="00453AA7">
        <w:rPr>
          <w:rFonts w:cstheme="minorHAnsi"/>
          <w:sz w:val="22"/>
          <w:szCs w:val="22"/>
        </w:rPr>
        <w:t>As autonomous vehicles become increasingly integrated into global transportation networks, digital forensic investigations must adapt to the agentic nature of their underlying artificial intelligence (AI). This paper examines the technical, legal, and methodological obstacles that arise when investigating crashes, malfunctions, or misuse involving AI-driven vehicles. We analyse issues of algorithmic opacity, volatile data memory, proprietary constraints, and diffuse responsibility. Drawing on real-world case studies</w:t>
      </w:r>
      <w:r w:rsidR="00366540">
        <w:rPr>
          <w:rFonts w:cstheme="minorHAnsi"/>
          <w:sz w:val="22"/>
          <w:szCs w:val="22"/>
        </w:rPr>
        <w:t xml:space="preserve">, </w:t>
      </w:r>
      <w:r w:rsidRPr="00453AA7">
        <w:rPr>
          <w:rFonts w:cstheme="minorHAnsi"/>
          <w:sz w:val="22"/>
          <w:szCs w:val="22"/>
        </w:rPr>
        <w:t>most notably the Uber fatality of 2018 and numerous Tesla Autopilot incidents</w:t>
      </w:r>
      <w:r w:rsidR="00366540">
        <w:rPr>
          <w:rFonts w:cstheme="minorHAnsi"/>
          <w:sz w:val="22"/>
          <w:szCs w:val="22"/>
        </w:rPr>
        <w:t xml:space="preserve">, </w:t>
      </w:r>
      <w:r w:rsidRPr="00453AA7">
        <w:rPr>
          <w:rFonts w:cstheme="minorHAnsi"/>
          <w:sz w:val="22"/>
          <w:szCs w:val="22"/>
        </w:rPr>
        <w:t>we demonstrate the limitations of existing forensic processes. Finally, we propose a suite of technical and regulatory reforms</w:t>
      </w:r>
      <w:r w:rsidR="00366540">
        <w:rPr>
          <w:rFonts w:cstheme="minorHAnsi"/>
          <w:sz w:val="22"/>
          <w:szCs w:val="22"/>
        </w:rPr>
        <w:t xml:space="preserve">, </w:t>
      </w:r>
      <w:r w:rsidRPr="00453AA7">
        <w:rPr>
          <w:rFonts w:cstheme="minorHAnsi"/>
          <w:sz w:val="22"/>
          <w:szCs w:val="22"/>
        </w:rPr>
        <w:t>including mandatory explainable AI modules, standardi</w:t>
      </w:r>
      <w:r w:rsidR="00366540">
        <w:rPr>
          <w:rFonts w:cstheme="minorHAnsi"/>
          <w:sz w:val="22"/>
          <w:szCs w:val="22"/>
        </w:rPr>
        <w:t>s</w:t>
      </w:r>
      <w:r w:rsidRPr="00453AA7">
        <w:rPr>
          <w:rFonts w:cstheme="minorHAnsi"/>
          <w:sz w:val="22"/>
          <w:szCs w:val="22"/>
        </w:rPr>
        <w:t>ed logging protocols, and blockchain-backed evidence chains</w:t>
      </w:r>
      <w:r w:rsidR="00366540">
        <w:rPr>
          <w:rFonts w:cstheme="minorHAnsi"/>
          <w:sz w:val="22"/>
          <w:szCs w:val="22"/>
        </w:rPr>
        <w:t xml:space="preserve">, </w:t>
      </w:r>
      <w:r w:rsidRPr="00453AA7">
        <w:rPr>
          <w:rFonts w:cstheme="minorHAnsi"/>
          <w:sz w:val="22"/>
          <w:szCs w:val="22"/>
        </w:rPr>
        <w:t>to foster more transparent, accountable, and robust AI forensic frameworks.</w:t>
      </w:r>
    </w:p>
    <w:p w14:paraId="72EDC67C" w14:textId="497900D9" w:rsidR="00453AA7" w:rsidRPr="00453AA7" w:rsidRDefault="00453AA7" w:rsidP="00366540">
      <w:pPr>
        <w:pStyle w:val="Heading1"/>
        <w:jc w:val="both"/>
      </w:pPr>
      <w:r w:rsidRPr="00453AA7">
        <w:t>Introduction</w:t>
      </w:r>
    </w:p>
    <w:p w14:paraId="26E476E3" w14:textId="7BC83891" w:rsidR="00453AA7" w:rsidRPr="00453AA7" w:rsidRDefault="00453AA7" w:rsidP="00366540">
      <w:pPr>
        <w:jc w:val="both"/>
        <w:rPr>
          <w:rFonts w:cstheme="minorHAnsi"/>
          <w:sz w:val="22"/>
          <w:szCs w:val="22"/>
        </w:rPr>
      </w:pPr>
      <w:r w:rsidRPr="00453AA7">
        <w:rPr>
          <w:rFonts w:cstheme="minorHAnsi"/>
          <w:sz w:val="22"/>
          <w:szCs w:val="22"/>
        </w:rPr>
        <w:t xml:space="preserve">In the past decade, autonomous vehicles (AVs) have transitioned from research prototypes to commercial deployments on public roads. By relying on sophisticated sensors, computer vision, and machine learning (ML) models, these vehicles are capable of perceiving their environment and making split-second decisions without direct human input (Goodall 2014). This emergent </w:t>
      </w:r>
      <w:r w:rsidR="00366540">
        <w:rPr>
          <w:rFonts w:cstheme="minorHAnsi"/>
          <w:sz w:val="22"/>
          <w:szCs w:val="22"/>
        </w:rPr>
        <w:t>‘</w:t>
      </w:r>
      <w:r w:rsidRPr="00453AA7">
        <w:rPr>
          <w:rFonts w:cstheme="minorHAnsi"/>
          <w:sz w:val="22"/>
          <w:szCs w:val="22"/>
        </w:rPr>
        <w:t>agentic AI</w:t>
      </w:r>
      <w:r w:rsidR="00366540">
        <w:rPr>
          <w:rFonts w:cstheme="minorHAnsi"/>
          <w:sz w:val="22"/>
          <w:szCs w:val="22"/>
        </w:rPr>
        <w:t>’</w:t>
      </w:r>
      <w:r w:rsidRPr="00453AA7">
        <w:rPr>
          <w:rFonts w:cstheme="minorHAnsi"/>
          <w:sz w:val="22"/>
          <w:szCs w:val="22"/>
        </w:rPr>
        <w:t xml:space="preserve"> exhibits behavio</w:t>
      </w:r>
      <w:r>
        <w:rPr>
          <w:rFonts w:cstheme="minorHAnsi"/>
          <w:sz w:val="22"/>
          <w:szCs w:val="22"/>
        </w:rPr>
        <w:t>u</w:t>
      </w:r>
      <w:r w:rsidRPr="00453AA7">
        <w:rPr>
          <w:rFonts w:cstheme="minorHAnsi"/>
          <w:sz w:val="22"/>
          <w:szCs w:val="22"/>
        </w:rPr>
        <w:t>rs that suggest goal-oriented action, challenging traditional forensic paradigms that assume human decision-making can be reconstructed from explicit logs and eyewitness accounts (</w:t>
      </w:r>
      <w:proofErr w:type="spellStart"/>
      <w:r w:rsidRPr="00453AA7">
        <w:rPr>
          <w:rFonts w:cstheme="minorHAnsi"/>
          <w:sz w:val="22"/>
          <w:szCs w:val="22"/>
        </w:rPr>
        <w:t>Hevelke</w:t>
      </w:r>
      <w:proofErr w:type="spellEnd"/>
      <w:r w:rsidRPr="00453AA7">
        <w:rPr>
          <w:rFonts w:cstheme="minorHAnsi"/>
          <w:sz w:val="22"/>
          <w:szCs w:val="22"/>
        </w:rPr>
        <w:t xml:space="preserve"> &amp; Nida-</w:t>
      </w:r>
      <w:proofErr w:type="spellStart"/>
      <w:r w:rsidRPr="00453AA7">
        <w:rPr>
          <w:rFonts w:cstheme="minorHAnsi"/>
          <w:sz w:val="22"/>
          <w:szCs w:val="22"/>
        </w:rPr>
        <w:t>Rümelin</w:t>
      </w:r>
      <w:proofErr w:type="spellEnd"/>
      <w:r w:rsidRPr="00453AA7">
        <w:rPr>
          <w:rFonts w:cstheme="minorHAnsi"/>
          <w:sz w:val="22"/>
          <w:szCs w:val="22"/>
        </w:rPr>
        <w:t xml:space="preserve"> 2015).</w:t>
      </w:r>
    </w:p>
    <w:p w14:paraId="25B1B56A" w14:textId="77777777" w:rsidR="00453AA7" w:rsidRPr="00453AA7" w:rsidRDefault="00453AA7" w:rsidP="00366540">
      <w:pPr>
        <w:jc w:val="both"/>
        <w:rPr>
          <w:rFonts w:cstheme="minorHAnsi"/>
          <w:sz w:val="22"/>
          <w:szCs w:val="22"/>
        </w:rPr>
      </w:pPr>
      <w:r w:rsidRPr="00453AA7">
        <w:rPr>
          <w:rFonts w:cstheme="minorHAnsi"/>
          <w:sz w:val="22"/>
          <w:szCs w:val="22"/>
        </w:rPr>
        <w:t>Digital forensics in vehicular contexts historically focused on event data recorders (EDRs), telematics, and infotainment systems to determine driver actions, vehicle states, and environmental factors (Casey et al. 2020). However, when an AI agent replaces or significantly augments human judgement, forensic investigators confront multiple novel hurdles: opaque decision paths within deep neural networks, fleeting sensor buffers, and proprietary software restrictions. Furthermore, attributing liability becomes complex when responsibility is diffused among OEMs (original equipment manufacturers), software developers, data providers, and end-users. This paper explores these dimensions in depth and offers a roadmap for future forensic readiness.</w:t>
      </w:r>
    </w:p>
    <w:p w14:paraId="2D8959E8" w14:textId="163330EB" w:rsidR="00453AA7" w:rsidRPr="00453AA7" w:rsidRDefault="00453AA7" w:rsidP="00366540">
      <w:pPr>
        <w:pStyle w:val="Heading1"/>
        <w:jc w:val="both"/>
      </w:pPr>
      <w:r w:rsidRPr="00453AA7">
        <w:lastRenderedPageBreak/>
        <w:t>Technical Challenges</w:t>
      </w:r>
    </w:p>
    <w:p w14:paraId="094AEE2E" w14:textId="7481948A" w:rsidR="00453AA7" w:rsidRPr="00453AA7" w:rsidRDefault="00453AA7" w:rsidP="00366540">
      <w:pPr>
        <w:pStyle w:val="Heading2"/>
        <w:jc w:val="both"/>
      </w:pPr>
      <w:r w:rsidRPr="00453AA7">
        <w:t xml:space="preserve">Algorithmic Opacity and </w:t>
      </w:r>
      <w:r w:rsidR="00366540">
        <w:t>‘</w:t>
      </w:r>
      <w:r w:rsidRPr="00453AA7">
        <w:t>Black Box</w:t>
      </w:r>
      <w:r w:rsidR="00366540">
        <w:t>’</w:t>
      </w:r>
      <w:r w:rsidRPr="00453AA7">
        <w:t xml:space="preserve"> Models</w:t>
      </w:r>
    </w:p>
    <w:p w14:paraId="1AA00679" w14:textId="0FB468ED" w:rsidR="00453AA7" w:rsidRPr="00453AA7" w:rsidRDefault="00453AA7" w:rsidP="00366540">
      <w:pPr>
        <w:jc w:val="both"/>
        <w:rPr>
          <w:rFonts w:cstheme="minorHAnsi"/>
          <w:sz w:val="22"/>
          <w:szCs w:val="22"/>
        </w:rPr>
      </w:pPr>
      <w:r w:rsidRPr="00453AA7">
        <w:rPr>
          <w:rFonts w:cstheme="minorHAnsi"/>
          <w:sz w:val="22"/>
          <w:szCs w:val="22"/>
        </w:rPr>
        <w:t>Deep learning architectures</w:t>
      </w:r>
      <w:r w:rsidR="00366540">
        <w:rPr>
          <w:rFonts w:cstheme="minorHAnsi"/>
          <w:sz w:val="22"/>
          <w:szCs w:val="22"/>
        </w:rPr>
        <w:t xml:space="preserve">, </w:t>
      </w:r>
      <w:r w:rsidRPr="00453AA7">
        <w:rPr>
          <w:rFonts w:cstheme="minorHAnsi"/>
          <w:sz w:val="22"/>
          <w:szCs w:val="22"/>
        </w:rPr>
        <w:t>particularly convolutional neural networks (CNNs) and recurrent neural networks (RNNs)</w:t>
      </w:r>
      <w:r w:rsidR="00366540">
        <w:rPr>
          <w:rFonts w:cstheme="minorHAnsi"/>
          <w:sz w:val="22"/>
          <w:szCs w:val="22"/>
        </w:rPr>
        <w:t xml:space="preserve">, </w:t>
      </w:r>
      <w:r w:rsidRPr="00453AA7">
        <w:rPr>
          <w:rFonts w:cstheme="minorHAnsi"/>
          <w:sz w:val="22"/>
          <w:szCs w:val="22"/>
        </w:rPr>
        <w:t>power many AV perception and planning modules (LeCun, Bengio &amp; Hinton 2015). Despite high performance, these models lack interpretability</w:t>
      </w:r>
      <w:r w:rsidR="00366540">
        <w:rPr>
          <w:rFonts w:cstheme="minorHAnsi"/>
          <w:sz w:val="22"/>
          <w:szCs w:val="22"/>
        </w:rPr>
        <w:t>.  T</w:t>
      </w:r>
      <w:r w:rsidRPr="00453AA7">
        <w:rPr>
          <w:rFonts w:cstheme="minorHAnsi"/>
          <w:sz w:val="22"/>
          <w:szCs w:val="22"/>
        </w:rPr>
        <w:t xml:space="preserve">heir decision boundaries arise from millions of weighted parameters fine-tuned during training, but they do not produce human-readable rationales for individual actions (Burrell 2016). When an AV swerves unexpectedly, investigators must reverse-engineer which features (e.g., pedestrian silhouette, road markings) triggered that </w:t>
      </w:r>
      <w:r w:rsidR="00366540" w:rsidRPr="00453AA7">
        <w:rPr>
          <w:rFonts w:cstheme="minorHAnsi"/>
          <w:sz w:val="22"/>
          <w:szCs w:val="22"/>
        </w:rPr>
        <w:t>manoeu</w:t>
      </w:r>
      <w:r w:rsidR="00366540">
        <w:rPr>
          <w:rFonts w:cstheme="minorHAnsi"/>
          <w:sz w:val="22"/>
          <w:szCs w:val="22"/>
        </w:rPr>
        <w:t>vre</w:t>
      </w:r>
      <w:r w:rsidRPr="00453AA7">
        <w:rPr>
          <w:rFonts w:cstheme="minorHAnsi"/>
          <w:sz w:val="22"/>
          <w:szCs w:val="22"/>
        </w:rPr>
        <w:t xml:space="preserve">. Traditional forensic timelines assume a deterministic chain of </w:t>
      </w:r>
      <w:r w:rsidR="00366540">
        <w:rPr>
          <w:rFonts w:cstheme="minorHAnsi"/>
          <w:sz w:val="22"/>
          <w:szCs w:val="22"/>
        </w:rPr>
        <w:t>‘</w:t>
      </w:r>
      <w:r w:rsidRPr="00453AA7">
        <w:rPr>
          <w:rFonts w:cstheme="minorHAnsi"/>
          <w:sz w:val="22"/>
          <w:szCs w:val="22"/>
        </w:rPr>
        <w:t>input → human decision → actuator response,</w:t>
      </w:r>
      <w:r w:rsidR="00366540">
        <w:rPr>
          <w:rFonts w:cstheme="minorHAnsi"/>
          <w:sz w:val="22"/>
          <w:szCs w:val="22"/>
        </w:rPr>
        <w:t>’</w:t>
      </w:r>
      <w:r w:rsidRPr="00453AA7">
        <w:rPr>
          <w:rFonts w:cstheme="minorHAnsi"/>
          <w:sz w:val="22"/>
          <w:szCs w:val="22"/>
        </w:rPr>
        <w:t xml:space="preserve"> yet agentic AI introduces non-linear transformations that elude straightforward reconstruction (Wachter, Mittelstadt &amp; </w:t>
      </w:r>
      <w:proofErr w:type="spellStart"/>
      <w:r w:rsidRPr="00453AA7">
        <w:rPr>
          <w:rFonts w:cstheme="minorHAnsi"/>
          <w:sz w:val="22"/>
          <w:szCs w:val="22"/>
        </w:rPr>
        <w:t>Floridi</w:t>
      </w:r>
      <w:proofErr w:type="spellEnd"/>
      <w:r w:rsidRPr="00453AA7">
        <w:rPr>
          <w:rFonts w:cstheme="minorHAnsi"/>
          <w:sz w:val="22"/>
          <w:szCs w:val="22"/>
        </w:rPr>
        <w:t xml:space="preserve"> 2017).</w:t>
      </w:r>
    </w:p>
    <w:p w14:paraId="0825066F" w14:textId="090C4A4F" w:rsidR="00453AA7" w:rsidRPr="00453AA7" w:rsidRDefault="00453AA7" w:rsidP="00366540">
      <w:pPr>
        <w:jc w:val="both"/>
        <w:rPr>
          <w:rFonts w:cstheme="minorHAnsi"/>
          <w:sz w:val="22"/>
          <w:szCs w:val="22"/>
        </w:rPr>
      </w:pPr>
      <w:r w:rsidRPr="00453AA7">
        <w:rPr>
          <w:rFonts w:cstheme="minorHAnsi"/>
          <w:sz w:val="22"/>
          <w:szCs w:val="22"/>
        </w:rPr>
        <w:t>Efforts to apply post-hoc explainable AI (XAI) techniques</w:t>
      </w:r>
      <w:r w:rsidR="00366540">
        <w:rPr>
          <w:rFonts w:cstheme="minorHAnsi"/>
          <w:sz w:val="22"/>
          <w:szCs w:val="22"/>
        </w:rPr>
        <w:t xml:space="preserve">, </w:t>
      </w:r>
      <w:r w:rsidRPr="00453AA7">
        <w:rPr>
          <w:rFonts w:cstheme="minorHAnsi"/>
          <w:sz w:val="22"/>
          <w:szCs w:val="22"/>
        </w:rPr>
        <w:t>such as saliency maps, layer-wise relevance propagation, or local surrogate models</w:t>
      </w:r>
      <w:r w:rsidR="00366540">
        <w:rPr>
          <w:rFonts w:cstheme="minorHAnsi"/>
          <w:sz w:val="22"/>
          <w:szCs w:val="22"/>
        </w:rPr>
        <w:t xml:space="preserve">, </w:t>
      </w:r>
      <w:r w:rsidRPr="00453AA7">
        <w:rPr>
          <w:rFonts w:cstheme="minorHAnsi"/>
          <w:sz w:val="22"/>
          <w:szCs w:val="22"/>
        </w:rPr>
        <w:t xml:space="preserve">offer partial insight into model activations (Ribeiro, Singh &amp; </w:t>
      </w:r>
      <w:proofErr w:type="spellStart"/>
      <w:r w:rsidRPr="00453AA7">
        <w:rPr>
          <w:rFonts w:cstheme="minorHAnsi"/>
          <w:sz w:val="22"/>
          <w:szCs w:val="22"/>
        </w:rPr>
        <w:t>Guestrin</w:t>
      </w:r>
      <w:proofErr w:type="spellEnd"/>
      <w:r w:rsidRPr="00453AA7">
        <w:rPr>
          <w:rFonts w:cstheme="minorHAnsi"/>
          <w:sz w:val="22"/>
          <w:szCs w:val="22"/>
        </w:rPr>
        <w:t xml:space="preserve"> 2016). However, these methods often compromise on fidelity or only function offline, post-crash, and may not capture the real-time context under which the original decision occurred. Moreover, XAI features are rarely mandated by OEMs, leaving investigators reliant on external experts who may lack access to proprietary architectures (Samek et al. 2019).</w:t>
      </w:r>
    </w:p>
    <w:p w14:paraId="0F7485D4" w14:textId="00A7F8CF" w:rsidR="00453AA7" w:rsidRPr="00453AA7" w:rsidRDefault="00453AA7" w:rsidP="00366540">
      <w:pPr>
        <w:pStyle w:val="Heading2"/>
        <w:jc w:val="both"/>
      </w:pPr>
      <w:r w:rsidRPr="00453AA7">
        <w:t>Volatile Memory and Ephemeral Data</w:t>
      </w:r>
    </w:p>
    <w:p w14:paraId="043EBDA8" w14:textId="2BAC21B2" w:rsidR="00453AA7" w:rsidRPr="00453AA7" w:rsidRDefault="00453AA7" w:rsidP="00366540">
      <w:pPr>
        <w:jc w:val="both"/>
        <w:rPr>
          <w:rFonts w:cstheme="minorHAnsi"/>
          <w:sz w:val="22"/>
          <w:szCs w:val="22"/>
        </w:rPr>
      </w:pPr>
      <w:r w:rsidRPr="00453AA7">
        <w:rPr>
          <w:rFonts w:cstheme="minorHAnsi"/>
          <w:sz w:val="22"/>
          <w:szCs w:val="22"/>
        </w:rPr>
        <w:t>AVs continuously stream terabytes of sensor data</w:t>
      </w:r>
      <w:r w:rsidR="00366540">
        <w:rPr>
          <w:rFonts w:cstheme="minorHAnsi"/>
          <w:sz w:val="22"/>
          <w:szCs w:val="22"/>
        </w:rPr>
        <w:t xml:space="preserve">, </w:t>
      </w:r>
      <w:r w:rsidRPr="00453AA7">
        <w:rPr>
          <w:rFonts w:cstheme="minorHAnsi"/>
          <w:sz w:val="22"/>
          <w:szCs w:val="22"/>
        </w:rPr>
        <w:t>camera feeds, LiDAR point clouds, radar sweeps, GPS coordinates, and inertial measurements. Yet only a fraction is logged persistently. Raw inputs are typically buffered in volatile memory and overwritten within seconds or minutes if not tagged as anomalous (Casey et al. 2020). Critical pre-crash evidence, such as a pedestrian’s rapid entry into the vehicle’s path or a momentary sensor blockage, may never be committed to onboard storage unless the system recogni</w:t>
      </w:r>
      <w:r w:rsidR="00366540">
        <w:rPr>
          <w:rFonts w:cstheme="minorHAnsi"/>
          <w:sz w:val="22"/>
          <w:szCs w:val="22"/>
        </w:rPr>
        <w:t>s</w:t>
      </w:r>
      <w:r w:rsidRPr="00453AA7">
        <w:rPr>
          <w:rFonts w:cstheme="minorHAnsi"/>
          <w:sz w:val="22"/>
          <w:szCs w:val="22"/>
        </w:rPr>
        <w:t>es the event as requiring archival. In practice, ML thresholds for anomaly detection are tuned to minimi</w:t>
      </w:r>
      <w:r w:rsidR="00366540">
        <w:rPr>
          <w:rFonts w:cstheme="minorHAnsi"/>
          <w:sz w:val="22"/>
          <w:szCs w:val="22"/>
        </w:rPr>
        <w:t>s</w:t>
      </w:r>
      <w:r w:rsidRPr="00453AA7">
        <w:rPr>
          <w:rFonts w:cstheme="minorHAnsi"/>
          <w:sz w:val="22"/>
          <w:szCs w:val="22"/>
        </w:rPr>
        <w:t xml:space="preserve">e storage costs, not forensic utility. As a result, investigators can lose the </w:t>
      </w:r>
      <w:r w:rsidR="00366540">
        <w:rPr>
          <w:rFonts w:cstheme="minorHAnsi"/>
          <w:sz w:val="22"/>
          <w:szCs w:val="22"/>
        </w:rPr>
        <w:t>‘</w:t>
      </w:r>
      <w:r w:rsidRPr="00453AA7">
        <w:rPr>
          <w:rFonts w:cstheme="minorHAnsi"/>
          <w:sz w:val="22"/>
          <w:szCs w:val="22"/>
        </w:rPr>
        <w:t>smoking gun</w:t>
      </w:r>
      <w:r w:rsidR="00366540">
        <w:rPr>
          <w:rFonts w:cstheme="minorHAnsi"/>
          <w:sz w:val="22"/>
          <w:szCs w:val="22"/>
        </w:rPr>
        <w:t>’</w:t>
      </w:r>
      <w:r w:rsidRPr="00453AA7">
        <w:rPr>
          <w:rFonts w:cstheme="minorHAnsi"/>
          <w:sz w:val="22"/>
          <w:szCs w:val="22"/>
        </w:rPr>
        <w:t xml:space="preserve"> visual or spatial data that would illuminate the AI’s sensory state in the crucial moments before an incident.</w:t>
      </w:r>
    </w:p>
    <w:p w14:paraId="75FE8CE0" w14:textId="77777777" w:rsidR="00453AA7" w:rsidRPr="00453AA7" w:rsidRDefault="00453AA7" w:rsidP="00366540">
      <w:pPr>
        <w:jc w:val="both"/>
        <w:rPr>
          <w:rFonts w:cstheme="minorHAnsi"/>
          <w:sz w:val="22"/>
          <w:szCs w:val="22"/>
        </w:rPr>
      </w:pPr>
      <w:r w:rsidRPr="00453AA7">
        <w:rPr>
          <w:rFonts w:cstheme="minorHAnsi"/>
          <w:sz w:val="22"/>
          <w:szCs w:val="22"/>
        </w:rPr>
        <w:t>Moreover, power loss during a collision can corrupt remaining logs. Without solid-state shutdown routines that commit in-flight buffers to non-volatile memory, entire segments of decision data vanish. Forensic guidelines for EDRs mandate certain event-triggered recordings, but these standards pre-date widespread AV deployment and do not account for complex ML pipelines (NHTSA 2019).</w:t>
      </w:r>
    </w:p>
    <w:p w14:paraId="416F6C14" w14:textId="66290A74" w:rsidR="00453AA7" w:rsidRPr="00453AA7" w:rsidRDefault="00453AA7" w:rsidP="00366540">
      <w:pPr>
        <w:pStyle w:val="Heading2"/>
        <w:jc w:val="both"/>
      </w:pPr>
      <w:r w:rsidRPr="00453AA7">
        <w:t>Proprietary Systems and Encryption</w:t>
      </w:r>
    </w:p>
    <w:p w14:paraId="6A921B19" w14:textId="2269F569" w:rsidR="00453AA7" w:rsidRPr="00453AA7" w:rsidRDefault="00453AA7" w:rsidP="00366540">
      <w:pPr>
        <w:jc w:val="both"/>
        <w:rPr>
          <w:rFonts w:cstheme="minorHAnsi"/>
          <w:sz w:val="22"/>
          <w:szCs w:val="22"/>
        </w:rPr>
      </w:pPr>
      <w:r w:rsidRPr="00453AA7">
        <w:rPr>
          <w:rFonts w:cstheme="minorHAnsi"/>
          <w:sz w:val="22"/>
          <w:szCs w:val="22"/>
        </w:rPr>
        <w:t>OEMs fiercely guard their software stacks as intellectual property. Autonomous driving stacks often comprise closed-source perception, locali</w:t>
      </w:r>
      <w:r w:rsidR="00366540">
        <w:rPr>
          <w:rFonts w:cstheme="minorHAnsi"/>
          <w:sz w:val="22"/>
          <w:szCs w:val="22"/>
        </w:rPr>
        <w:t>s</w:t>
      </w:r>
      <w:r w:rsidRPr="00453AA7">
        <w:rPr>
          <w:rFonts w:cstheme="minorHAnsi"/>
          <w:sz w:val="22"/>
          <w:szCs w:val="22"/>
        </w:rPr>
        <w:t>ation, and trajectory-planning modules encrypted against tampering or reverse engineering. Legal frameworks offer limited grounds for compelled disclosure: trade-secret protections and non-disclosure agreements can trump forensic subpoenas, particularly when multiple corporate entities across jurisdictions are involved (</w:t>
      </w:r>
      <w:proofErr w:type="spellStart"/>
      <w:r w:rsidRPr="00453AA7">
        <w:rPr>
          <w:rFonts w:cstheme="minorHAnsi"/>
          <w:sz w:val="22"/>
          <w:szCs w:val="22"/>
        </w:rPr>
        <w:t>Gogoll</w:t>
      </w:r>
      <w:proofErr w:type="spellEnd"/>
      <w:r w:rsidRPr="00453AA7">
        <w:rPr>
          <w:rFonts w:cstheme="minorHAnsi"/>
          <w:sz w:val="22"/>
          <w:szCs w:val="22"/>
        </w:rPr>
        <w:t xml:space="preserve"> &amp; Müller 2017). Even when prosecutors secure court orders, decrypting and interpreting tens of millions of lines of code is time-intensive and demands expert witnesses, swelling investigation costs.</w:t>
      </w:r>
    </w:p>
    <w:p w14:paraId="02267423" w14:textId="77777777" w:rsidR="00453AA7" w:rsidRPr="00453AA7" w:rsidRDefault="00453AA7" w:rsidP="00366540">
      <w:pPr>
        <w:jc w:val="both"/>
        <w:rPr>
          <w:rFonts w:cstheme="minorHAnsi"/>
          <w:sz w:val="22"/>
          <w:szCs w:val="22"/>
        </w:rPr>
      </w:pPr>
      <w:r w:rsidRPr="00453AA7">
        <w:rPr>
          <w:rFonts w:cstheme="minorHAnsi"/>
          <w:sz w:val="22"/>
          <w:szCs w:val="22"/>
        </w:rPr>
        <w:lastRenderedPageBreak/>
        <w:t>Proprietary logging formats further complicate matters. Each OEM may develop bespoke container schemas, compression algorithms, and data encryption keys that hinder cross-vendor forensic tooling. Standard forensic suites, tailored to human-driven vehicles, cannot parse these novel data artifacts without bespoke decoders provided by manufacturers.</w:t>
      </w:r>
    </w:p>
    <w:p w14:paraId="18422554" w14:textId="58921DC0" w:rsidR="00453AA7" w:rsidRPr="00453AA7" w:rsidRDefault="00453AA7" w:rsidP="00366540">
      <w:pPr>
        <w:pStyle w:val="Heading1"/>
        <w:jc w:val="both"/>
      </w:pPr>
      <w:r w:rsidRPr="00453AA7">
        <w:t>Legal and Ethical Ambiguities</w:t>
      </w:r>
    </w:p>
    <w:p w14:paraId="3C9ECD5A" w14:textId="34D7C4DB" w:rsidR="00453AA7" w:rsidRPr="00453AA7" w:rsidRDefault="00453AA7" w:rsidP="00366540">
      <w:pPr>
        <w:pStyle w:val="Heading2"/>
        <w:jc w:val="both"/>
      </w:pPr>
      <w:r w:rsidRPr="00453AA7">
        <w:t>Diffuse Liability and Attribution</w:t>
      </w:r>
    </w:p>
    <w:p w14:paraId="3338CB44" w14:textId="788AB160" w:rsidR="00453AA7" w:rsidRPr="00453AA7" w:rsidRDefault="00453AA7" w:rsidP="00366540">
      <w:pPr>
        <w:jc w:val="both"/>
        <w:rPr>
          <w:rFonts w:cstheme="minorHAnsi"/>
          <w:sz w:val="22"/>
          <w:szCs w:val="22"/>
        </w:rPr>
      </w:pPr>
      <w:r w:rsidRPr="00453AA7">
        <w:rPr>
          <w:rFonts w:cstheme="minorHAnsi"/>
          <w:sz w:val="22"/>
          <w:szCs w:val="22"/>
        </w:rPr>
        <w:t>Assigning responsibility in agentic AI systems fractures along multiple axes: hardware integrator, software developer, data curator, and end-user. Traditional legal doctrines</w:t>
      </w:r>
      <w:r w:rsidR="00366540">
        <w:rPr>
          <w:rFonts w:cstheme="minorHAnsi"/>
          <w:sz w:val="22"/>
          <w:szCs w:val="22"/>
        </w:rPr>
        <w:t xml:space="preserve">, </w:t>
      </w:r>
      <w:r w:rsidRPr="00453AA7">
        <w:rPr>
          <w:rFonts w:cstheme="minorHAnsi"/>
          <w:sz w:val="22"/>
          <w:szCs w:val="22"/>
        </w:rPr>
        <w:t>such as negligence or product liability</w:t>
      </w:r>
      <w:r w:rsidR="00366540">
        <w:rPr>
          <w:rFonts w:cstheme="minorHAnsi"/>
          <w:sz w:val="22"/>
          <w:szCs w:val="22"/>
        </w:rPr>
        <w:t xml:space="preserve">, </w:t>
      </w:r>
      <w:r w:rsidRPr="00453AA7">
        <w:rPr>
          <w:rFonts w:cstheme="minorHAnsi"/>
          <w:sz w:val="22"/>
          <w:szCs w:val="22"/>
        </w:rPr>
        <w:t>anticipate a clear defendant, yet AV incidents often implicate a network of collaborators. For example, if an onboard ML model misclassifies a bicyclist as a static billboard, is the vehicle manufacturer at fault for inadequate model training, the data provider for biased datasets, or the software engineer for flawed model validation (</w:t>
      </w:r>
      <w:proofErr w:type="spellStart"/>
      <w:r w:rsidRPr="00453AA7">
        <w:rPr>
          <w:rFonts w:cstheme="minorHAnsi"/>
          <w:sz w:val="22"/>
          <w:szCs w:val="22"/>
        </w:rPr>
        <w:t>Hevelke</w:t>
      </w:r>
      <w:proofErr w:type="spellEnd"/>
      <w:r w:rsidRPr="00453AA7">
        <w:rPr>
          <w:rFonts w:cstheme="minorHAnsi"/>
          <w:sz w:val="22"/>
          <w:szCs w:val="22"/>
        </w:rPr>
        <w:t xml:space="preserve"> &amp; Nida-</w:t>
      </w:r>
      <w:proofErr w:type="spellStart"/>
      <w:r w:rsidRPr="00453AA7">
        <w:rPr>
          <w:rFonts w:cstheme="minorHAnsi"/>
          <w:sz w:val="22"/>
          <w:szCs w:val="22"/>
        </w:rPr>
        <w:t>Rümelin</w:t>
      </w:r>
      <w:proofErr w:type="spellEnd"/>
      <w:r w:rsidRPr="00453AA7">
        <w:rPr>
          <w:rFonts w:cstheme="minorHAnsi"/>
          <w:sz w:val="22"/>
          <w:szCs w:val="22"/>
        </w:rPr>
        <w:t xml:space="preserve"> 2015)? The European Parliament’s proposed AI Act seeks to categori</w:t>
      </w:r>
      <w:r w:rsidR="00366540">
        <w:rPr>
          <w:rFonts w:cstheme="minorHAnsi"/>
          <w:sz w:val="22"/>
          <w:szCs w:val="22"/>
        </w:rPr>
        <w:t>s</w:t>
      </w:r>
      <w:r w:rsidRPr="00453AA7">
        <w:rPr>
          <w:rFonts w:cstheme="minorHAnsi"/>
          <w:sz w:val="22"/>
          <w:szCs w:val="22"/>
        </w:rPr>
        <w:t>e AI risk levels and impose obligations accordingly, but it stops short of delineating forensic rights or evidentiary standards for agentic decision-making (European Commission 2021).</w:t>
      </w:r>
    </w:p>
    <w:p w14:paraId="24DAB3D1" w14:textId="1291B1D9" w:rsidR="00453AA7" w:rsidRPr="00453AA7" w:rsidRDefault="00453AA7" w:rsidP="00366540">
      <w:pPr>
        <w:pStyle w:val="Heading2"/>
        <w:jc w:val="both"/>
      </w:pPr>
      <w:r w:rsidRPr="00453AA7">
        <w:t>Chain of Custody and Data Ownership</w:t>
      </w:r>
    </w:p>
    <w:p w14:paraId="753110AB" w14:textId="35B6ADD1" w:rsidR="00453AA7" w:rsidRPr="00453AA7" w:rsidRDefault="00453AA7" w:rsidP="00366540">
      <w:pPr>
        <w:jc w:val="both"/>
        <w:rPr>
          <w:rFonts w:cstheme="minorHAnsi"/>
          <w:sz w:val="22"/>
          <w:szCs w:val="22"/>
        </w:rPr>
      </w:pPr>
      <w:r w:rsidRPr="00453AA7">
        <w:rPr>
          <w:rFonts w:cstheme="minorHAnsi"/>
          <w:sz w:val="22"/>
          <w:szCs w:val="22"/>
        </w:rPr>
        <w:t xml:space="preserve">Digital forensics rests on maintaining an unbroken chain of custody to preserve evidentiary integrity. Yet AV data frequently traverses cloud servers, edge-computing nodes, and third-party telematics platforms before local storage occurs. Determining the point at which data becomes </w:t>
      </w:r>
      <w:r w:rsidR="00366540">
        <w:rPr>
          <w:rFonts w:cstheme="minorHAnsi"/>
          <w:sz w:val="22"/>
          <w:szCs w:val="22"/>
        </w:rPr>
        <w:t>‘</w:t>
      </w:r>
      <w:r w:rsidRPr="00453AA7">
        <w:rPr>
          <w:rFonts w:cstheme="minorHAnsi"/>
          <w:sz w:val="22"/>
          <w:szCs w:val="22"/>
        </w:rPr>
        <w:t>official</w:t>
      </w:r>
      <w:r w:rsidR="00366540">
        <w:rPr>
          <w:rFonts w:cstheme="minorHAnsi"/>
          <w:sz w:val="22"/>
          <w:szCs w:val="22"/>
        </w:rPr>
        <w:t>’</w:t>
      </w:r>
      <w:r w:rsidRPr="00453AA7">
        <w:rPr>
          <w:rFonts w:cstheme="minorHAnsi"/>
          <w:sz w:val="22"/>
          <w:szCs w:val="22"/>
        </w:rPr>
        <w:t xml:space="preserve"> evidence</w:t>
      </w:r>
      <w:r w:rsidR="00366540">
        <w:rPr>
          <w:rFonts w:cstheme="minorHAnsi"/>
          <w:sz w:val="22"/>
          <w:szCs w:val="22"/>
        </w:rPr>
        <w:t xml:space="preserve">, </w:t>
      </w:r>
      <w:r w:rsidRPr="00453AA7">
        <w:rPr>
          <w:rFonts w:cstheme="minorHAnsi"/>
          <w:sz w:val="22"/>
          <w:szCs w:val="22"/>
        </w:rPr>
        <w:t>subject to disclosure, search warrants, or preservation orders</w:t>
      </w:r>
      <w:r w:rsidR="00366540">
        <w:rPr>
          <w:rFonts w:cstheme="minorHAnsi"/>
          <w:sz w:val="22"/>
          <w:szCs w:val="22"/>
        </w:rPr>
        <w:t xml:space="preserve">, </w:t>
      </w:r>
      <w:r w:rsidRPr="00453AA7">
        <w:rPr>
          <w:rFonts w:cstheme="minorHAnsi"/>
          <w:sz w:val="22"/>
          <w:szCs w:val="22"/>
        </w:rPr>
        <w:t>is fraught. Cross-border data transfers trigger privacy regimes like GDPR, potentially forbidding unilateral sei</w:t>
      </w:r>
      <w:r w:rsidR="00366540">
        <w:rPr>
          <w:rFonts w:cstheme="minorHAnsi"/>
          <w:sz w:val="22"/>
          <w:szCs w:val="22"/>
        </w:rPr>
        <w:t>z</w:t>
      </w:r>
      <w:r w:rsidRPr="00453AA7">
        <w:rPr>
          <w:rFonts w:cstheme="minorHAnsi"/>
          <w:sz w:val="22"/>
          <w:szCs w:val="22"/>
        </w:rPr>
        <w:t xml:space="preserve">ure of raw sensor logs if they contain personal data (Voigt &amp; von </w:t>
      </w:r>
      <w:proofErr w:type="spellStart"/>
      <w:r w:rsidRPr="00453AA7">
        <w:rPr>
          <w:rFonts w:cstheme="minorHAnsi"/>
          <w:sz w:val="22"/>
          <w:szCs w:val="22"/>
        </w:rPr>
        <w:t>dem</w:t>
      </w:r>
      <w:proofErr w:type="spellEnd"/>
      <w:r w:rsidRPr="00453AA7">
        <w:rPr>
          <w:rFonts w:cstheme="minorHAnsi"/>
          <w:sz w:val="22"/>
          <w:szCs w:val="22"/>
        </w:rPr>
        <w:t xml:space="preserve"> </w:t>
      </w:r>
      <w:proofErr w:type="spellStart"/>
      <w:r w:rsidRPr="00453AA7">
        <w:rPr>
          <w:rFonts w:cstheme="minorHAnsi"/>
          <w:sz w:val="22"/>
          <w:szCs w:val="22"/>
        </w:rPr>
        <w:t>Bussche</w:t>
      </w:r>
      <w:proofErr w:type="spellEnd"/>
      <w:r w:rsidRPr="00453AA7">
        <w:rPr>
          <w:rFonts w:cstheme="minorHAnsi"/>
          <w:sz w:val="22"/>
          <w:szCs w:val="22"/>
        </w:rPr>
        <w:t xml:space="preserve"> 2017). Investigators must navigate overlapping statutes on data protection, motor-vehicle regulation, and criminal procedure, lengthening pre-trial discovery and muddying admissibility.</w:t>
      </w:r>
    </w:p>
    <w:p w14:paraId="765975B7" w14:textId="781D9988" w:rsidR="00453AA7" w:rsidRPr="00453AA7" w:rsidRDefault="00453AA7" w:rsidP="00366540">
      <w:pPr>
        <w:pStyle w:val="Heading2"/>
        <w:jc w:val="both"/>
      </w:pPr>
      <w:r w:rsidRPr="00453AA7">
        <w:t>Algorithmic Bias and Ethical Fairness</w:t>
      </w:r>
    </w:p>
    <w:p w14:paraId="6105E896" w14:textId="298EAE78" w:rsidR="00453AA7" w:rsidRPr="00453AA7" w:rsidRDefault="00453AA7" w:rsidP="00366540">
      <w:pPr>
        <w:jc w:val="both"/>
        <w:rPr>
          <w:rFonts w:cstheme="minorHAnsi"/>
          <w:sz w:val="22"/>
          <w:szCs w:val="22"/>
        </w:rPr>
      </w:pPr>
      <w:r w:rsidRPr="00453AA7">
        <w:rPr>
          <w:rFonts w:cstheme="minorHAnsi"/>
          <w:sz w:val="22"/>
          <w:szCs w:val="22"/>
        </w:rPr>
        <w:t xml:space="preserve">Beyond mechanical failure, AI systems may manifest socioeconomic or racial biases embedded in training corpora. A study by </w:t>
      </w:r>
      <w:proofErr w:type="spellStart"/>
      <w:r w:rsidRPr="00453AA7">
        <w:rPr>
          <w:rFonts w:cstheme="minorHAnsi"/>
          <w:sz w:val="22"/>
          <w:szCs w:val="22"/>
        </w:rPr>
        <w:t>Buolamwini</w:t>
      </w:r>
      <w:proofErr w:type="spellEnd"/>
      <w:r w:rsidRPr="00453AA7">
        <w:rPr>
          <w:rFonts w:cstheme="minorHAnsi"/>
          <w:sz w:val="22"/>
          <w:szCs w:val="22"/>
        </w:rPr>
        <w:t xml:space="preserve"> and Gebru (2018) found that computer-vision models disproportionately mis</w:t>
      </w:r>
      <w:r w:rsidR="00366540">
        <w:rPr>
          <w:rFonts w:cstheme="minorHAnsi"/>
          <w:sz w:val="22"/>
          <w:szCs w:val="22"/>
        </w:rPr>
        <w:t>-</w:t>
      </w:r>
      <w:r w:rsidRPr="00453AA7">
        <w:rPr>
          <w:rFonts w:cstheme="minorHAnsi"/>
          <w:sz w:val="22"/>
          <w:szCs w:val="22"/>
        </w:rPr>
        <w:t>detect darker skin tones. In a collision scenario, an AV’s pedestrian-avoidance algorithm might under-prioriti</w:t>
      </w:r>
      <w:r w:rsidR="00366540">
        <w:rPr>
          <w:rFonts w:cstheme="minorHAnsi"/>
          <w:sz w:val="22"/>
          <w:szCs w:val="22"/>
        </w:rPr>
        <w:t>s</w:t>
      </w:r>
      <w:r w:rsidRPr="00453AA7">
        <w:rPr>
          <w:rFonts w:cstheme="minorHAnsi"/>
          <w:sz w:val="22"/>
          <w:szCs w:val="22"/>
        </w:rPr>
        <w:t>e protection for certain demographic groups, raising ethical and legal questions about systemic discrimination in risk allocation. Forensic reconstructions must thus examine training datasets and fairness audits</w:t>
      </w:r>
      <w:r w:rsidR="00366540">
        <w:rPr>
          <w:rFonts w:cstheme="minorHAnsi"/>
          <w:sz w:val="22"/>
          <w:szCs w:val="22"/>
        </w:rPr>
        <w:t xml:space="preserve">, </w:t>
      </w:r>
      <w:r w:rsidRPr="00453AA7">
        <w:rPr>
          <w:rFonts w:cstheme="minorHAnsi"/>
          <w:sz w:val="22"/>
          <w:szCs w:val="22"/>
        </w:rPr>
        <w:t>tasks requiring speciali</w:t>
      </w:r>
      <w:r w:rsidR="00366540">
        <w:rPr>
          <w:rFonts w:cstheme="minorHAnsi"/>
          <w:sz w:val="22"/>
          <w:szCs w:val="22"/>
        </w:rPr>
        <w:t>s</w:t>
      </w:r>
      <w:r w:rsidRPr="00453AA7">
        <w:rPr>
          <w:rFonts w:cstheme="minorHAnsi"/>
          <w:sz w:val="22"/>
          <w:szCs w:val="22"/>
        </w:rPr>
        <w:t>ed expertise and often protected under confidentiality clauses.</w:t>
      </w:r>
    </w:p>
    <w:p w14:paraId="3AB8AD1E" w14:textId="24F6BDE3" w:rsidR="00453AA7" w:rsidRPr="00453AA7" w:rsidRDefault="00453AA7" w:rsidP="00366540">
      <w:pPr>
        <w:pStyle w:val="Heading1"/>
        <w:jc w:val="both"/>
      </w:pPr>
      <w:r w:rsidRPr="00453AA7">
        <w:t>Forensic Methodologies</w:t>
      </w:r>
    </w:p>
    <w:p w14:paraId="59D61D95" w14:textId="59FE9F75" w:rsidR="00453AA7" w:rsidRPr="00453AA7" w:rsidRDefault="00453AA7" w:rsidP="00366540">
      <w:pPr>
        <w:pStyle w:val="Heading2"/>
        <w:jc w:val="both"/>
      </w:pPr>
      <w:r w:rsidRPr="00453AA7">
        <w:t>Traditional Forensics vs. AI-Adapted Approaches</w:t>
      </w:r>
    </w:p>
    <w:p w14:paraId="0639B420" w14:textId="74322E22" w:rsidR="00453AA7" w:rsidRPr="00453AA7" w:rsidRDefault="00453AA7" w:rsidP="00366540">
      <w:pPr>
        <w:jc w:val="both"/>
        <w:rPr>
          <w:rFonts w:cstheme="minorHAnsi"/>
          <w:sz w:val="22"/>
          <w:szCs w:val="22"/>
        </w:rPr>
      </w:pPr>
      <w:r w:rsidRPr="00453AA7">
        <w:rPr>
          <w:rFonts w:cstheme="minorHAnsi"/>
          <w:sz w:val="22"/>
          <w:szCs w:val="22"/>
        </w:rPr>
        <w:t xml:space="preserve">Standard vehicular forensics leverage log extraction tools, EDR downloads, and telematics interrogation to reconstruct a timeline of speed, braking, steering angle, and GPS coordinates (NHTSA </w:t>
      </w:r>
      <w:r w:rsidRPr="00453AA7">
        <w:rPr>
          <w:rFonts w:cstheme="minorHAnsi"/>
          <w:sz w:val="22"/>
          <w:szCs w:val="22"/>
        </w:rPr>
        <w:lastRenderedPageBreak/>
        <w:t>2019). When AI intervenes, investigators must supplement these data with model-specific artifacts: weight matrices, activation logs, and probabilistic outputs. Open-source forensic frameworks</w:t>
      </w:r>
      <w:r w:rsidR="00366540">
        <w:rPr>
          <w:rFonts w:cstheme="minorHAnsi"/>
          <w:sz w:val="22"/>
          <w:szCs w:val="22"/>
        </w:rPr>
        <w:t xml:space="preserve">, </w:t>
      </w:r>
      <w:r w:rsidRPr="00453AA7">
        <w:rPr>
          <w:rFonts w:cstheme="minorHAnsi"/>
          <w:sz w:val="22"/>
          <w:szCs w:val="22"/>
        </w:rPr>
        <w:t xml:space="preserve">such as </w:t>
      </w:r>
      <w:proofErr w:type="spellStart"/>
      <w:r w:rsidRPr="00453AA7">
        <w:rPr>
          <w:rFonts w:cstheme="minorHAnsi"/>
          <w:sz w:val="22"/>
          <w:szCs w:val="22"/>
        </w:rPr>
        <w:t>Autoware</w:t>
      </w:r>
      <w:proofErr w:type="spellEnd"/>
      <w:r w:rsidRPr="00453AA7">
        <w:rPr>
          <w:rFonts w:cstheme="minorHAnsi"/>
          <w:sz w:val="22"/>
          <w:szCs w:val="22"/>
        </w:rPr>
        <w:t xml:space="preserve"> or Apollo</w:t>
      </w:r>
      <w:r w:rsidR="00366540">
        <w:rPr>
          <w:rFonts w:cstheme="minorHAnsi"/>
          <w:sz w:val="22"/>
          <w:szCs w:val="22"/>
        </w:rPr>
        <w:t xml:space="preserve">, </w:t>
      </w:r>
      <w:r w:rsidRPr="00453AA7">
        <w:rPr>
          <w:rFonts w:cstheme="minorHAnsi"/>
          <w:sz w:val="22"/>
          <w:szCs w:val="22"/>
        </w:rPr>
        <w:t>offer glimpses into data structures but rarely align with proprietary implementations. Consequently, forensics teams must develop hybrid toolchains, combining vendor SDKs with custom parsers.</w:t>
      </w:r>
    </w:p>
    <w:p w14:paraId="6EBFDEAD" w14:textId="75553B42" w:rsidR="00453AA7" w:rsidRPr="00453AA7" w:rsidRDefault="00453AA7" w:rsidP="00366540">
      <w:pPr>
        <w:pStyle w:val="Heading2"/>
        <w:jc w:val="both"/>
      </w:pPr>
      <w:r w:rsidRPr="00453AA7">
        <w:t>Reverse Engineering Neural Networks</w:t>
      </w:r>
    </w:p>
    <w:p w14:paraId="51CE95BF" w14:textId="29BD6036" w:rsidR="00453AA7" w:rsidRPr="00453AA7" w:rsidRDefault="00453AA7" w:rsidP="00366540">
      <w:pPr>
        <w:jc w:val="both"/>
        <w:rPr>
          <w:rFonts w:cstheme="minorHAnsi"/>
          <w:sz w:val="22"/>
          <w:szCs w:val="22"/>
        </w:rPr>
      </w:pPr>
      <w:r w:rsidRPr="00453AA7">
        <w:rPr>
          <w:rFonts w:cstheme="minorHAnsi"/>
          <w:sz w:val="22"/>
          <w:szCs w:val="22"/>
        </w:rPr>
        <w:t>Reverse engineering entails mapping black-box models via query-based probing or partial weight extraction. Techniques like model extraction attacks send crafted inputs to an AV’s external API (e.g., fleet-management interfaces) to infer decision boundaries (</w:t>
      </w:r>
      <w:proofErr w:type="spellStart"/>
      <w:r w:rsidRPr="00453AA7">
        <w:rPr>
          <w:rFonts w:cstheme="minorHAnsi"/>
          <w:sz w:val="22"/>
          <w:szCs w:val="22"/>
        </w:rPr>
        <w:t>Tramèr</w:t>
      </w:r>
      <w:proofErr w:type="spellEnd"/>
      <w:r w:rsidRPr="00453AA7">
        <w:rPr>
          <w:rFonts w:cstheme="minorHAnsi"/>
          <w:sz w:val="22"/>
          <w:szCs w:val="22"/>
        </w:rPr>
        <w:t xml:space="preserve"> et al. 2016). Once a surrogate model approximates the target network, investigators can conduct sensitivity analyses to identify failure modes. However, many OEMs throttle or authenticate external queries to prevent such probing, and legal systems vary on whether these actions constitute authori</w:t>
      </w:r>
      <w:r w:rsidR="00366540">
        <w:rPr>
          <w:rFonts w:cstheme="minorHAnsi"/>
          <w:sz w:val="22"/>
          <w:szCs w:val="22"/>
        </w:rPr>
        <w:t>s</w:t>
      </w:r>
      <w:r w:rsidRPr="00453AA7">
        <w:rPr>
          <w:rFonts w:cstheme="minorHAnsi"/>
          <w:sz w:val="22"/>
          <w:szCs w:val="22"/>
        </w:rPr>
        <w:t>ed forensic work or illicit hacking.</w:t>
      </w:r>
    </w:p>
    <w:p w14:paraId="7D53A6CF" w14:textId="0D297960" w:rsidR="00453AA7" w:rsidRPr="00453AA7" w:rsidRDefault="00453AA7" w:rsidP="00366540">
      <w:pPr>
        <w:pStyle w:val="Heading2"/>
        <w:jc w:val="both"/>
      </w:pPr>
      <w:r w:rsidRPr="00453AA7">
        <w:t>Hardware-Level Evidence and Event Data Recorders</w:t>
      </w:r>
    </w:p>
    <w:p w14:paraId="0D335F05" w14:textId="10454FDF" w:rsidR="00453AA7" w:rsidRPr="00453AA7" w:rsidRDefault="00453AA7" w:rsidP="00366540">
      <w:pPr>
        <w:jc w:val="both"/>
        <w:rPr>
          <w:rFonts w:cstheme="minorHAnsi"/>
          <w:sz w:val="22"/>
          <w:szCs w:val="22"/>
        </w:rPr>
      </w:pPr>
      <w:r w:rsidRPr="00453AA7">
        <w:rPr>
          <w:rFonts w:cstheme="minorHAnsi"/>
          <w:sz w:val="22"/>
          <w:szCs w:val="22"/>
        </w:rPr>
        <w:t xml:space="preserve">Upgrading EDRs to capture AI-specific telemetry is a promising avenue. Some researchers advocate embedding </w:t>
      </w:r>
      <w:r w:rsidR="00366540">
        <w:rPr>
          <w:rFonts w:cstheme="minorHAnsi"/>
          <w:sz w:val="22"/>
          <w:szCs w:val="22"/>
        </w:rPr>
        <w:t>‘</w:t>
      </w:r>
      <w:r w:rsidRPr="00453AA7">
        <w:rPr>
          <w:rFonts w:cstheme="minorHAnsi"/>
          <w:sz w:val="22"/>
          <w:szCs w:val="22"/>
        </w:rPr>
        <w:t>Model Decision Recorders</w:t>
      </w:r>
      <w:r w:rsidR="00366540">
        <w:rPr>
          <w:rFonts w:cstheme="minorHAnsi"/>
          <w:sz w:val="22"/>
          <w:szCs w:val="22"/>
        </w:rPr>
        <w:t>’</w:t>
      </w:r>
      <w:r w:rsidRPr="00453AA7">
        <w:rPr>
          <w:rFonts w:cstheme="minorHAnsi"/>
          <w:sz w:val="22"/>
          <w:szCs w:val="22"/>
        </w:rPr>
        <w:t xml:space="preserve"> alongside traditional sensors</w:t>
      </w:r>
      <w:r w:rsidR="00366540">
        <w:rPr>
          <w:rFonts w:cstheme="minorHAnsi"/>
          <w:sz w:val="22"/>
          <w:szCs w:val="22"/>
        </w:rPr>
        <w:t xml:space="preserve">, </w:t>
      </w:r>
      <w:r w:rsidRPr="00453AA7">
        <w:rPr>
          <w:rFonts w:cstheme="minorHAnsi"/>
          <w:sz w:val="22"/>
          <w:szCs w:val="22"/>
        </w:rPr>
        <w:t>logging intermediate classification confidences, feature-importance vectors, and fallback strategies (Milne et al. 2020). Such modules must operate on write-once media, cryptographically signing each entry to ensure tamper resistance. Implementing this uniformly across the industry, however, requires regulatory mandates or robust standards from bodies like SAE International or ISO.</w:t>
      </w:r>
    </w:p>
    <w:p w14:paraId="06D0F433" w14:textId="03F59CEE" w:rsidR="00453AA7" w:rsidRPr="00453AA7" w:rsidRDefault="00453AA7" w:rsidP="00366540">
      <w:pPr>
        <w:pStyle w:val="Heading1"/>
        <w:jc w:val="both"/>
      </w:pPr>
      <w:r w:rsidRPr="00453AA7">
        <w:t>Case Studies</w:t>
      </w:r>
    </w:p>
    <w:p w14:paraId="1934F08B" w14:textId="5C6E00F9" w:rsidR="00453AA7" w:rsidRPr="00453AA7" w:rsidRDefault="00453AA7" w:rsidP="00366540">
      <w:pPr>
        <w:pStyle w:val="Heading2"/>
        <w:jc w:val="both"/>
      </w:pPr>
      <w:r w:rsidRPr="00453AA7">
        <w:t>Uber Autonomous Vehicle Fatality (Tempe, 2018)</w:t>
      </w:r>
    </w:p>
    <w:p w14:paraId="1EFCB7D3" w14:textId="3A7AAE49" w:rsidR="00453AA7" w:rsidRPr="00453AA7" w:rsidRDefault="00453AA7" w:rsidP="00366540">
      <w:pPr>
        <w:jc w:val="both"/>
        <w:rPr>
          <w:rFonts w:cstheme="minorHAnsi"/>
          <w:sz w:val="22"/>
          <w:szCs w:val="22"/>
        </w:rPr>
      </w:pPr>
      <w:r w:rsidRPr="00453AA7">
        <w:rPr>
          <w:rFonts w:cstheme="minorHAnsi"/>
          <w:sz w:val="22"/>
          <w:szCs w:val="22"/>
        </w:rPr>
        <w:t>In March 2018, an Uber self-driving SUV struck and killed a pedestrian in Tempe, Ari</w:t>
      </w:r>
      <w:r w:rsidR="00366540">
        <w:rPr>
          <w:rFonts w:cstheme="minorHAnsi"/>
          <w:sz w:val="22"/>
          <w:szCs w:val="22"/>
        </w:rPr>
        <w:t>z</w:t>
      </w:r>
      <w:r w:rsidRPr="00453AA7">
        <w:rPr>
          <w:rFonts w:cstheme="minorHAnsi"/>
          <w:sz w:val="22"/>
          <w:szCs w:val="22"/>
        </w:rPr>
        <w:t>ona. Post-accident investigations revealed that the perception system detected the victim 1.3 seconds before impact but misclassified her as an ambiguous object, triggering no emergency braking until too late. Forensic analysts struggled to retrieve complete LiDAR point clouds: the on-vehicle buffer had overwritten pre-crash frames, and the proprietary format complicated data recovery. Legal inquiries subsequently focused on system design choices, training dataset composition, and vendor-contractual responsibilities (NTSB 2019).</w:t>
      </w:r>
    </w:p>
    <w:p w14:paraId="2C1CE8FB" w14:textId="3954C324" w:rsidR="00453AA7" w:rsidRPr="00453AA7" w:rsidRDefault="00453AA7" w:rsidP="00366540">
      <w:pPr>
        <w:pStyle w:val="Heading2"/>
        <w:jc w:val="both"/>
      </w:pPr>
      <w:r w:rsidRPr="00453AA7">
        <w:t>Tesla Autopilot Crashes (2016–2024)</w:t>
      </w:r>
    </w:p>
    <w:p w14:paraId="6C22B727" w14:textId="0C960993" w:rsidR="00453AA7" w:rsidRPr="00453AA7" w:rsidRDefault="00453AA7" w:rsidP="00366540">
      <w:pPr>
        <w:jc w:val="both"/>
        <w:rPr>
          <w:rFonts w:cstheme="minorHAnsi"/>
          <w:sz w:val="22"/>
          <w:szCs w:val="22"/>
        </w:rPr>
      </w:pPr>
      <w:r w:rsidRPr="00453AA7">
        <w:rPr>
          <w:rFonts w:cstheme="minorHAnsi"/>
          <w:sz w:val="22"/>
          <w:szCs w:val="22"/>
        </w:rPr>
        <w:t>Between 2016 and 2024, over a do</w:t>
      </w:r>
      <w:r w:rsidR="00366540">
        <w:rPr>
          <w:rFonts w:cstheme="minorHAnsi"/>
          <w:sz w:val="22"/>
          <w:szCs w:val="22"/>
        </w:rPr>
        <w:t>z</w:t>
      </w:r>
      <w:r w:rsidRPr="00453AA7">
        <w:rPr>
          <w:rFonts w:cstheme="minorHAnsi"/>
          <w:sz w:val="22"/>
          <w:szCs w:val="22"/>
        </w:rPr>
        <w:t>en high-profile collisions involved Tesla’s Autopilot system (NHTSA 2022). Early investigations revealed that Tesla’s event data recorders (EDRs) logged only high-level system states</w:t>
      </w:r>
      <w:r w:rsidR="00366540">
        <w:rPr>
          <w:rFonts w:cstheme="minorHAnsi"/>
          <w:sz w:val="22"/>
          <w:szCs w:val="22"/>
        </w:rPr>
        <w:t>, ‘</w:t>
      </w:r>
      <w:r w:rsidRPr="00453AA7">
        <w:rPr>
          <w:rFonts w:cstheme="minorHAnsi"/>
          <w:sz w:val="22"/>
          <w:szCs w:val="22"/>
        </w:rPr>
        <w:t>Autopilot engaged,</w:t>
      </w:r>
      <w:r w:rsidR="00366540">
        <w:rPr>
          <w:rFonts w:cstheme="minorHAnsi"/>
          <w:sz w:val="22"/>
          <w:szCs w:val="22"/>
        </w:rPr>
        <w:t>’</w:t>
      </w:r>
      <w:r w:rsidRPr="00453AA7">
        <w:rPr>
          <w:rFonts w:cstheme="minorHAnsi"/>
          <w:sz w:val="22"/>
          <w:szCs w:val="22"/>
        </w:rPr>
        <w:t xml:space="preserve"> </w:t>
      </w:r>
      <w:r w:rsidR="00366540">
        <w:rPr>
          <w:rFonts w:cstheme="minorHAnsi"/>
          <w:sz w:val="22"/>
          <w:szCs w:val="22"/>
        </w:rPr>
        <w:t>‘</w:t>
      </w:r>
      <w:r w:rsidRPr="00453AA7">
        <w:rPr>
          <w:rFonts w:cstheme="minorHAnsi"/>
          <w:sz w:val="22"/>
          <w:szCs w:val="22"/>
        </w:rPr>
        <w:t>hands detected,</w:t>
      </w:r>
      <w:r w:rsidR="00366540">
        <w:rPr>
          <w:rFonts w:cstheme="minorHAnsi"/>
          <w:sz w:val="22"/>
          <w:szCs w:val="22"/>
        </w:rPr>
        <w:t>’</w:t>
      </w:r>
      <w:r w:rsidRPr="00453AA7">
        <w:rPr>
          <w:rFonts w:cstheme="minorHAnsi"/>
          <w:sz w:val="22"/>
          <w:szCs w:val="22"/>
        </w:rPr>
        <w:t xml:space="preserve"> and vehicle speed</w:t>
      </w:r>
      <w:r w:rsidR="00366540">
        <w:rPr>
          <w:rFonts w:cstheme="minorHAnsi"/>
          <w:sz w:val="22"/>
          <w:szCs w:val="22"/>
        </w:rPr>
        <w:t xml:space="preserve">, </w:t>
      </w:r>
      <w:r w:rsidRPr="00453AA7">
        <w:rPr>
          <w:rFonts w:cstheme="minorHAnsi"/>
          <w:sz w:val="22"/>
          <w:szCs w:val="22"/>
        </w:rPr>
        <w:t>without preserving critical model outputs such as obstacle classifications or collision-avoidance confidence scores (Kendall et al. 2019). Plaintiffs alleged that this sparse logging obscured whether the system had correctly detected ha</w:t>
      </w:r>
      <w:r w:rsidR="00001EDE">
        <w:rPr>
          <w:rFonts w:cstheme="minorHAnsi"/>
          <w:sz w:val="22"/>
          <w:szCs w:val="22"/>
        </w:rPr>
        <w:t>z</w:t>
      </w:r>
      <w:r w:rsidRPr="00453AA7">
        <w:rPr>
          <w:rFonts w:cstheme="minorHAnsi"/>
          <w:sz w:val="22"/>
          <w:szCs w:val="22"/>
        </w:rPr>
        <w:t>ards or deferred to driver intervention.</w:t>
      </w:r>
    </w:p>
    <w:p w14:paraId="0AD9486F" w14:textId="77777777" w:rsidR="00453AA7" w:rsidRPr="00453AA7" w:rsidRDefault="00453AA7" w:rsidP="00366540">
      <w:pPr>
        <w:jc w:val="both"/>
        <w:rPr>
          <w:rFonts w:cstheme="minorHAnsi"/>
          <w:sz w:val="22"/>
          <w:szCs w:val="22"/>
        </w:rPr>
      </w:pPr>
      <w:r w:rsidRPr="00453AA7">
        <w:rPr>
          <w:rFonts w:cstheme="minorHAnsi"/>
          <w:sz w:val="22"/>
          <w:szCs w:val="22"/>
        </w:rPr>
        <w:t xml:space="preserve">In response to regulatory and legal pressure, Tesla enhanced its logging protocol in 2021, adding periodic dumps of object-tracking vectors and the contents of its perception buffer (Tesla 2021). Yet </w:t>
      </w:r>
      <w:r w:rsidRPr="00453AA7">
        <w:rPr>
          <w:rFonts w:cstheme="minorHAnsi"/>
          <w:sz w:val="22"/>
          <w:szCs w:val="22"/>
        </w:rPr>
        <w:lastRenderedPageBreak/>
        <w:t>even these richer logs omit intermediate activation maps from the neural network’s convolutional layers, which forensic experts argue are essential for reconstructing the step-by-step classification process (Samek et al. 2019). Several courts have since quashed discovery requests for proprietary network weights, citing trade-secret protections; others have mandated in-camera inspections by independent experts under non-disclosure agreements (</w:t>
      </w:r>
      <w:proofErr w:type="spellStart"/>
      <w:r w:rsidRPr="00453AA7">
        <w:rPr>
          <w:rFonts w:cstheme="minorHAnsi"/>
          <w:sz w:val="22"/>
          <w:szCs w:val="22"/>
        </w:rPr>
        <w:t>Gogoll</w:t>
      </w:r>
      <w:proofErr w:type="spellEnd"/>
      <w:r w:rsidRPr="00453AA7">
        <w:rPr>
          <w:rFonts w:cstheme="minorHAnsi"/>
          <w:sz w:val="22"/>
          <w:szCs w:val="22"/>
        </w:rPr>
        <w:t xml:space="preserve"> &amp; Müller 2017). The uneven legal landscape illustrates both the necessity and difficulty of balancing IP rights against public safety and forensic transparency.</w:t>
      </w:r>
    </w:p>
    <w:p w14:paraId="4CBC8824" w14:textId="47C45E59" w:rsidR="00453AA7" w:rsidRPr="00453AA7" w:rsidRDefault="00453AA7" w:rsidP="00366540">
      <w:pPr>
        <w:pStyle w:val="Heading1"/>
        <w:jc w:val="both"/>
      </w:pPr>
      <w:r w:rsidRPr="00453AA7">
        <w:t>Towards Future-Proof Forensics</w:t>
      </w:r>
    </w:p>
    <w:p w14:paraId="77BFA14B" w14:textId="0BED82B0" w:rsidR="00453AA7" w:rsidRPr="00453AA7" w:rsidRDefault="00453AA7" w:rsidP="00366540">
      <w:pPr>
        <w:jc w:val="both"/>
        <w:rPr>
          <w:rFonts w:cstheme="minorHAnsi"/>
          <w:sz w:val="22"/>
          <w:szCs w:val="22"/>
        </w:rPr>
      </w:pPr>
      <w:r w:rsidRPr="00453AA7">
        <w:rPr>
          <w:rFonts w:cstheme="minorHAnsi"/>
          <w:sz w:val="22"/>
          <w:szCs w:val="22"/>
        </w:rPr>
        <w:t>To address the multifaceted challenges outlined above, we propose a three-pronged framework combining technical mandates, regulatory reform, and standardi</w:t>
      </w:r>
      <w:r w:rsidR="00366540">
        <w:rPr>
          <w:rFonts w:cstheme="minorHAnsi"/>
          <w:sz w:val="22"/>
          <w:szCs w:val="22"/>
        </w:rPr>
        <w:t>s</w:t>
      </w:r>
      <w:r w:rsidRPr="00453AA7">
        <w:rPr>
          <w:rFonts w:cstheme="minorHAnsi"/>
          <w:sz w:val="22"/>
          <w:szCs w:val="22"/>
        </w:rPr>
        <w:t>ation efforts.</w:t>
      </w:r>
    </w:p>
    <w:p w14:paraId="0D9BC0BF" w14:textId="73017C33" w:rsidR="00453AA7" w:rsidRPr="00453AA7" w:rsidRDefault="00453AA7" w:rsidP="00366540">
      <w:pPr>
        <w:pStyle w:val="Heading2"/>
        <w:jc w:val="both"/>
      </w:pPr>
      <w:r w:rsidRPr="00453AA7">
        <w:t>Mandated Explainability and Model Transparency</w:t>
      </w:r>
    </w:p>
    <w:p w14:paraId="6B229915" w14:textId="77777777" w:rsidR="00453AA7" w:rsidRDefault="00453AA7" w:rsidP="00366540">
      <w:pPr>
        <w:jc w:val="both"/>
        <w:rPr>
          <w:rFonts w:cstheme="minorHAnsi"/>
          <w:sz w:val="22"/>
          <w:szCs w:val="22"/>
        </w:rPr>
      </w:pPr>
      <w:r w:rsidRPr="00453AA7">
        <w:rPr>
          <w:rFonts w:cstheme="minorHAnsi"/>
          <w:sz w:val="22"/>
          <w:szCs w:val="22"/>
        </w:rPr>
        <w:t xml:space="preserve">Regulators should require that all safety-critical AV systems integrate built-in explainability modules. These could include: </w:t>
      </w:r>
    </w:p>
    <w:p w14:paraId="20A828C1" w14:textId="404C4561" w:rsidR="00453AA7" w:rsidRPr="00453AA7" w:rsidRDefault="00453AA7" w:rsidP="00366540">
      <w:pPr>
        <w:pStyle w:val="ListParagraph"/>
        <w:numPr>
          <w:ilvl w:val="0"/>
          <w:numId w:val="6"/>
        </w:numPr>
        <w:jc w:val="both"/>
        <w:rPr>
          <w:rFonts w:cstheme="minorHAnsi"/>
          <w:sz w:val="22"/>
          <w:szCs w:val="22"/>
        </w:rPr>
      </w:pPr>
      <w:r w:rsidRPr="00453AA7">
        <w:rPr>
          <w:rFonts w:cstheme="minorHAnsi"/>
          <w:sz w:val="22"/>
          <w:szCs w:val="22"/>
        </w:rPr>
        <w:t xml:space="preserve">Layer-wise relevance logs capturing the top N activated features per decision cycle (Ribeiro, Singh &amp; </w:t>
      </w:r>
      <w:proofErr w:type="spellStart"/>
      <w:r w:rsidRPr="00453AA7">
        <w:rPr>
          <w:rFonts w:cstheme="minorHAnsi"/>
          <w:sz w:val="22"/>
          <w:szCs w:val="22"/>
        </w:rPr>
        <w:t>Guestrin</w:t>
      </w:r>
      <w:proofErr w:type="spellEnd"/>
      <w:r w:rsidRPr="00453AA7">
        <w:rPr>
          <w:rFonts w:cstheme="minorHAnsi"/>
          <w:sz w:val="22"/>
          <w:szCs w:val="22"/>
        </w:rPr>
        <w:t xml:space="preserve"> 2016). </w:t>
      </w:r>
    </w:p>
    <w:p w14:paraId="494EB34F" w14:textId="00B3211A" w:rsidR="00453AA7" w:rsidRPr="00453AA7" w:rsidRDefault="00453AA7" w:rsidP="00366540">
      <w:pPr>
        <w:pStyle w:val="ListParagraph"/>
        <w:numPr>
          <w:ilvl w:val="0"/>
          <w:numId w:val="6"/>
        </w:numPr>
        <w:jc w:val="both"/>
        <w:rPr>
          <w:rFonts w:cstheme="minorHAnsi"/>
          <w:sz w:val="22"/>
          <w:szCs w:val="22"/>
        </w:rPr>
      </w:pPr>
      <w:r w:rsidRPr="00453AA7">
        <w:rPr>
          <w:rFonts w:cstheme="minorHAnsi"/>
          <w:sz w:val="22"/>
          <w:szCs w:val="22"/>
        </w:rPr>
        <w:t xml:space="preserve">Saliency maps stamped with precise timestamps, archived in a tamper-resistant EDR partition (Samek et al. 2019). </w:t>
      </w:r>
    </w:p>
    <w:p w14:paraId="2B3E14AA" w14:textId="1CCF3577" w:rsidR="00453AA7" w:rsidRPr="00453AA7" w:rsidRDefault="00453AA7" w:rsidP="00366540">
      <w:pPr>
        <w:pStyle w:val="ListParagraph"/>
        <w:numPr>
          <w:ilvl w:val="0"/>
          <w:numId w:val="6"/>
        </w:numPr>
        <w:jc w:val="both"/>
        <w:rPr>
          <w:rFonts w:cstheme="minorHAnsi"/>
          <w:sz w:val="22"/>
          <w:szCs w:val="22"/>
        </w:rPr>
      </w:pPr>
      <w:r w:rsidRPr="00453AA7">
        <w:rPr>
          <w:rFonts w:cstheme="minorHAnsi"/>
          <w:sz w:val="22"/>
          <w:szCs w:val="22"/>
        </w:rPr>
        <w:t>Model provenance metadata</w:t>
      </w:r>
      <w:r w:rsidR="00366540">
        <w:rPr>
          <w:rFonts w:cstheme="minorHAnsi"/>
          <w:sz w:val="22"/>
          <w:szCs w:val="22"/>
        </w:rPr>
        <w:t xml:space="preserve">, </w:t>
      </w:r>
      <w:r w:rsidRPr="00453AA7">
        <w:rPr>
          <w:rFonts w:cstheme="minorHAnsi"/>
          <w:sz w:val="22"/>
          <w:szCs w:val="22"/>
        </w:rPr>
        <w:t>documenting training data sources, version histories, and retraining schedules</w:t>
      </w:r>
      <w:r w:rsidR="00366540">
        <w:rPr>
          <w:rFonts w:cstheme="minorHAnsi"/>
          <w:sz w:val="22"/>
          <w:szCs w:val="22"/>
        </w:rPr>
        <w:t xml:space="preserve">, </w:t>
      </w:r>
      <w:r w:rsidRPr="00453AA7">
        <w:rPr>
          <w:rFonts w:cstheme="minorHAnsi"/>
          <w:sz w:val="22"/>
          <w:szCs w:val="22"/>
        </w:rPr>
        <w:t>to support both bias audits and forensic attribution (</w:t>
      </w:r>
      <w:proofErr w:type="spellStart"/>
      <w:r w:rsidRPr="00453AA7">
        <w:rPr>
          <w:rFonts w:cstheme="minorHAnsi"/>
          <w:sz w:val="22"/>
          <w:szCs w:val="22"/>
        </w:rPr>
        <w:t>Buolamwini</w:t>
      </w:r>
      <w:proofErr w:type="spellEnd"/>
      <w:r w:rsidRPr="00453AA7">
        <w:rPr>
          <w:rFonts w:cstheme="minorHAnsi"/>
          <w:sz w:val="22"/>
          <w:szCs w:val="22"/>
        </w:rPr>
        <w:t xml:space="preserve"> &amp; Gebru 2018).</w:t>
      </w:r>
    </w:p>
    <w:p w14:paraId="07AB76DB" w14:textId="77777777" w:rsidR="00453AA7" w:rsidRPr="00453AA7" w:rsidRDefault="00453AA7" w:rsidP="00366540">
      <w:pPr>
        <w:jc w:val="both"/>
        <w:rPr>
          <w:rFonts w:cstheme="minorHAnsi"/>
          <w:sz w:val="22"/>
          <w:szCs w:val="22"/>
        </w:rPr>
      </w:pPr>
      <w:r w:rsidRPr="00453AA7">
        <w:rPr>
          <w:rFonts w:cstheme="minorHAnsi"/>
          <w:sz w:val="22"/>
          <w:szCs w:val="22"/>
        </w:rPr>
        <w:t>By stipulating these requirements in vehicle safety standards (e.g., UNECE WP.29 type approvals or the forthcoming EU AI Act), policymakers can force OEMs to bake forensics into design rather than treat it as a post-hoc add-on.</w:t>
      </w:r>
    </w:p>
    <w:p w14:paraId="57FB72C5" w14:textId="3C824E45" w:rsidR="00453AA7" w:rsidRPr="00453AA7" w:rsidRDefault="00453AA7" w:rsidP="00366540">
      <w:pPr>
        <w:pStyle w:val="Heading2"/>
        <w:jc w:val="both"/>
      </w:pPr>
      <w:r w:rsidRPr="00453AA7">
        <w:t>Standardi</w:t>
      </w:r>
      <w:r w:rsidR="00366540">
        <w:t>s</w:t>
      </w:r>
      <w:r w:rsidRPr="00453AA7">
        <w:t>ed Logging Protocols</w:t>
      </w:r>
    </w:p>
    <w:p w14:paraId="646EC6C8" w14:textId="4F4AB46A" w:rsidR="00453AA7" w:rsidRPr="00453AA7" w:rsidRDefault="00453AA7" w:rsidP="00366540">
      <w:pPr>
        <w:jc w:val="both"/>
        <w:rPr>
          <w:rFonts w:cstheme="minorHAnsi"/>
          <w:sz w:val="22"/>
          <w:szCs w:val="22"/>
        </w:rPr>
      </w:pPr>
      <w:r w:rsidRPr="00453AA7">
        <w:rPr>
          <w:rFonts w:cstheme="minorHAnsi"/>
          <w:sz w:val="22"/>
          <w:szCs w:val="22"/>
        </w:rPr>
        <w:t>A universal data schema for AV forensic logs would vastly reduce integration costs and legal friction. We recommend the International Organi</w:t>
      </w:r>
      <w:r w:rsidR="00366540">
        <w:rPr>
          <w:rFonts w:cstheme="minorHAnsi"/>
          <w:sz w:val="22"/>
          <w:szCs w:val="22"/>
        </w:rPr>
        <w:t>s</w:t>
      </w:r>
      <w:r w:rsidRPr="00453AA7">
        <w:rPr>
          <w:rFonts w:cstheme="minorHAnsi"/>
          <w:sz w:val="22"/>
          <w:szCs w:val="22"/>
        </w:rPr>
        <w:t>ation for Standardi</w:t>
      </w:r>
      <w:r w:rsidR="00366540">
        <w:rPr>
          <w:rFonts w:cstheme="minorHAnsi"/>
          <w:sz w:val="22"/>
          <w:szCs w:val="22"/>
        </w:rPr>
        <w:t>s</w:t>
      </w:r>
      <w:r w:rsidRPr="00453AA7">
        <w:rPr>
          <w:rFonts w:cstheme="minorHAnsi"/>
          <w:sz w:val="22"/>
          <w:szCs w:val="22"/>
        </w:rPr>
        <w:t>ation (ISO) and SAE International jointly develop:</w:t>
      </w:r>
    </w:p>
    <w:p w14:paraId="08CCD0FC" w14:textId="77777777" w:rsidR="00453AA7" w:rsidRPr="00453AA7" w:rsidRDefault="00453AA7" w:rsidP="00366540">
      <w:pPr>
        <w:pStyle w:val="ListParagraph"/>
        <w:numPr>
          <w:ilvl w:val="0"/>
          <w:numId w:val="2"/>
        </w:numPr>
        <w:jc w:val="both"/>
        <w:rPr>
          <w:rFonts w:cstheme="minorHAnsi"/>
          <w:sz w:val="22"/>
          <w:szCs w:val="22"/>
        </w:rPr>
      </w:pPr>
      <w:r w:rsidRPr="00453AA7">
        <w:rPr>
          <w:rFonts w:cstheme="minorHAnsi"/>
          <w:sz w:val="22"/>
          <w:szCs w:val="22"/>
        </w:rPr>
        <w:t>A minimum viable data set (MVDS) for AV incidents, covering sensor inputs (camera, LiDAR, radar), vehicle control outputs (steering, braking, throttle), and AI decision artifacts (classification label, confidence score, fallback mode).</w:t>
      </w:r>
    </w:p>
    <w:p w14:paraId="3479FD5C" w14:textId="31BB00B5" w:rsidR="00453AA7" w:rsidRPr="00453AA7" w:rsidRDefault="00453AA7" w:rsidP="00366540">
      <w:pPr>
        <w:pStyle w:val="ListParagraph"/>
        <w:numPr>
          <w:ilvl w:val="0"/>
          <w:numId w:val="2"/>
        </w:numPr>
        <w:jc w:val="both"/>
        <w:rPr>
          <w:rFonts w:cstheme="minorHAnsi"/>
          <w:sz w:val="22"/>
          <w:szCs w:val="22"/>
        </w:rPr>
      </w:pPr>
      <w:r w:rsidRPr="00453AA7">
        <w:rPr>
          <w:rFonts w:cstheme="minorHAnsi"/>
          <w:sz w:val="22"/>
          <w:szCs w:val="22"/>
        </w:rPr>
        <w:t>A layered storage architecture</w:t>
      </w:r>
      <w:r w:rsidR="00366540">
        <w:rPr>
          <w:rFonts w:cstheme="minorHAnsi"/>
          <w:sz w:val="22"/>
          <w:szCs w:val="22"/>
        </w:rPr>
        <w:t xml:space="preserve">, </w:t>
      </w:r>
      <w:r w:rsidRPr="00453AA7">
        <w:rPr>
          <w:rFonts w:cstheme="minorHAnsi"/>
          <w:sz w:val="22"/>
          <w:szCs w:val="22"/>
        </w:rPr>
        <w:t>volatile cache, persistent EDR, secure enclave</w:t>
      </w:r>
      <w:r w:rsidR="00366540">
        <w:rPr>
          <w:rFonts w:cstheme="minorHAnsi"/>
          <w:sz w:val="22"/>
          <w:szCs w:val="22"/>
        </w:rPr>
        <w:t xml:space="preserve">, </w:t>
      </w:r>
      <w:r w:rsidRPr="00453AA7">
        <w:rPr>
          <w:rFonts w:cstheme="minorHAnsi"/>
          <w:sz w:val="22"/>
          <w:szCs w:val="22"/>
        </w:rPr>
        <w:t>ensuring chronological integrity and enabling selective data retrieval by authori</w:t>
      </w:r>
      <w:r w:rsidR="00366540">
        <w:rPr>
          <w:rFonts w:cstheme="minorHAnsi"/>
          <w:sz w:val="22"/>
          <w:szCs w:val="22"/>
        </w:rPr>
        <w:t>s</w:t>
      </w:r>
      <w:r w:rsidRPr="00453AA7">
        <w:rPr>
          <w:rFonts w:cstheme="minorHAnsi"/>
          <w:sz w:val="22"/>
          <w:szCs w:val="22"/>
        </w:rPr>
        <w:t>ed parties.</w:t>
      </w:r>
    </w:p>
    <w:p w14:paraId="46F97389" w14:textId="77777777" w:rsidR="00453AA7" w:rsidRPr="00453AA7" w:rsidRDefault="00453AA7" w:rsidP="00366540">
      <w:pPr>
        <w:pStyle w:val="ListParagraph"/>
        <w:numPr>
          <w:ilvl w:val="0"/>
          <w:numId w:val="2"/>
        </w:numPr>
        <w:jc w:val="both"/>
        <w:rPr>
          <w:rFonts w:cstheme="minorHAnsi"/>
          <w:sz w:val="22"/>
          <w:szCs w:val="22"/>
        </w:rPr>
      </w:pPr>
      <w:r w:rsidRPr="00453AA7">
        <w:rPr>
          <w:rFonts w:cstheme="minorHAnsi"/>
          <w:sz w:val="22"/>
          <w:szCs w:val="22"/>
        </w:rPr>
        <w:t>Cryptographic signing of log chunks and blockchain anchoring to preserve chain of custody, using lightweight permissioned ledgers to prevent tampering without exposing sensitive raw data (Milne et al. 2020).</w:t>
      </w:r>
    </w:p>
    <w:p w14:paraId="6AD222B0" w14:textId="2A312755" w:rsidR="00453AA7" w:rsidRPr="00453AA7" w:rsidRDefault="00453AA7" w:rsidP="00366540">
      <w:pPr>
        <w:jc w:val="both"/>
        <w:rPr>
          <w:rFonts w:cstheme="minorHAnsi"/>
          <w:sz w:val="22"/>
          <w:szCs w:val="22"/>
        </w:rPr>
      </w:pPr>
      <w:r w:rsidRPr="00453AA7">
        <w:rPr>
          <w:rFonts w:cstheme="minorHAnsi"/>
          <w:sz w:val="22"/>
          <w:szCs w:val="22"/>
        </w:rPr>
        <w:t>Such standards should be incorporated into national motor-vehicle regulations and harmoni</w:t>
      </w:r>
      <w:r w:rsidR="00366540">
        <w:rPr>
          <w:rFonts w:cstheme="minorHAnsi"/>
          <w:sz w:val="22"/>
          <w:szCs w:val="22"/>
        </w:rPr>
        <w:t>s</w:t>
      </w:r>
      <w:r w:rsidRPr="00453AA7">
        <w:rPr>
          <w:rFonts w:cstheme="minorHAnsi"/>
          <w:sz w:val="22"/>
          <w:szCs w:val="22"/>
        </w:rPr>
        <w:t>ed across major markets (US FMVSS, EU General Safety Regulation, China’s GB standards) to avoid jurisdictional conflicts in cross-border incidents.</w:t>
      </w:r>
    </w:p>
    <w:p w14:paraId="1A89A490" w14:textId="7F15D2FE" w:rsidR="00453AA7" w:rsidRPr="00453AA7" w:rsidRDefault="00453AA7" w:rsidP="00366540">
      <w:pPr>
        <w:pStyle w:val="Heading2"/>
        <w:jc w:val="both"/>
      </w:pPr>
      <w:r w:rsidRPr="00453AA7">
        <w:lastRenderedPageBreak/>
        <w:t>Legal and Contractual Reforms</w:t>
      </w:r>
    </w:p>
    <w:p w14:paraId="25A5F651" w14:textId="77777777" w:rsidR="00453AA7" w:rsidRDefault="00453AA7" w:rsidP="00366540">
      <w:pPr>
        <w:jc w:val="both"/>
        <w:rPr>
          <w:rFonts w:cstheme="minorHAnsi"/>
          <w:sz w:val="22"/>
          <w:szCs w:val="22"/>
        </w:rPr>
      </w:pPr>
      <w:r w:rsidRPr="00453AA7">
        <w:rPr>
          <w:rFonts w:cstheme="minorHAnsi"/>
          <w:sz w:val="22"/>
          <w:szCs w:val="22"/>
        </w:rPr>
        <w:t xml:space="preserve">Legal frameworks must evolve to clarify data ownership, access rights, and investigative responsibilities: </w:t>
      </w:r>
    </w:p>
    <w:p w14:paraId="43BA0A05" w14:textId="10F0F6CD" w:rsidR="00453AA7" w:rsidRPr="00453AA7" w:rsidRDefault="00453AA7" w:rsidP="00366540">
      <w:pPr>
        <w:pStyle w:val="ListParagraph"/>
        <w:numPr>
          <w:ilvl w:val="0"/>
          <w:numId w:val="4"/>
        </w:numPr>
        <w:jc w:val="both"/>
        <w:rPr>
          <w:rFonts w:cstheme="minorHAnsi"/>
          <w:sz w:val="22"/>
          <w:szCs w:val="22"/>
        </w:rPr>
      </w:pPr>
      <w:r w:rsidRPr="00453AA7">
        <w:rPr>
          <w:rFonts w:cstheme="minorHAnsi"/>
          <w:sz w:val="22"/>
          <w:szCs w:val="22"/>
        </w:rPr>
        <w:t xml:space="preserve">Presumptive Access for Public Safety: Grant law enforcement and accredited forensic labs presumptive rights to AV EDRs and AI logs after a major incident, subject to judicial oversight to protect trade secrets and personal privacy. </w:t>
      </w:r>
    </w:p>
    <w:p w14:paraId="7079EB1D" w14:textId="5EBE2070" w:rsidR="00453AA7" w:rsidRPr="00453AA7" w:rsidRDefault="00453AA7" w:rsidP="00366540">
      <w:pPr>
        <w:pStyle w:val="ListParagraph"/>
        <w:numPr>
          <w:ilvl w:val="0"/>
          <w:numId w:val="4"/>
        </w:numPr>
        <w:jc w:val="both"/>
        <w:rPr>
          <w:rFonts w:cstheme="minorHAnsi"/>
          <w:sz w:val="22"/>
          <w:szCs w:val="22"/>
        </w:rPr>
      </w:pPr>
      <w:r w:rsidRPr="00453AA7">
        <w:rPr>
          <w:rFonts w:cstheme="minorHAnsi"/>
          <w:sz w:val="22"/>
          <w:szCs w:val="22"/>
        </w:rPr>
        <w:t>Shared Liability Models: Institute contributory-negligence doctrines tailored for AVs, whereby liability can be apportioned among OEMs, software vendors, data suppliers, and owners based on demonstrable lapses in system design, model training, or maintenance (</w:t>
      </w:r>
      <w:proofErr w:type="spellStart"/>
      <w:r w:rsidRPr="00453AA7">
        <w:rPr>
          <w:rFonts w:cstheme="minorHAnsi"/>
          <w:sz w:val="22"/>
          <w:szCs w:val="22"/>
        </w:rPr>
        <w:t>Hevelke</w:t>
      </w:r>
      <w:proofErr w:type="spellEnd"/>
      <w:r w:rsidRPr="00453AA7">
        <w:rPr>
          <w:rFonts w:cstheme="minorHAnsi"/>
          <w:sz w:val="22"/>
          <w:szCs w:val="22"/>
        </w:rPr>
        <w:t xml:space="preserve"> &amp; Nida-</w:t>
      </w:r>
      <w:proofErr w:type="spellStart"/>
      <w:r w:rsidRPr="00453AA7">
        <w:rPr>
          <w:rFonts w:cstheme="minorHAnsi"/>
          <w:sz w:val="22"/>
          <w:szCs w:val="22"/>
        </w:rPr>
        <w:t>Rümelin</w:t>
      </w:r>
      <w:proofErr w:type="spellEnd"/>
      <w:r w:rsidRPr="00453AA7">
        <w:rPr>
          <w:rFonts w:cstheme="minorHAnsi"/>
          <w:sz w:val="22"/>
          <w:szCs w:val="22"/>
        </w:rPr>
        <w:t xml:space="preserve"> 2015). </w:t>
      </w:r>
    </w:p>
    <w:p w14:paraId="2D7AEE12" w14:textId="2E446DA8" w:rsidR="00453AA7" w:rsidRPr="00453AA7" w:rsidRDefault="00453AA7" w:rsidP="00366540">
      <w:pPr>
        <w:pStyle w:val="ListParagraph"/>
        <w:numPr>
          <w:ilvl w:val="0"/>
          <w:numId w:val="4"/>
        </w:numPr>
        <w:jc w:val="both"/>
        <w:rPr>
          <w:rFonts w:cstheme="minorHAnsi"/>
          <w:sz w:val="22"/>
          <w:szCs w:val="22"/>
        </w:rPr>
      </w:pPr>
      <w:r w:rsidRPr="00453AA7">
        <w:rPr>
          <w:rFonts w:cstheme="minorHAnsi"/>
          <w:sz w:val="22"/>
          <w:szCs w:val="22"/>
        </w:rPr>
        <w:t>Certification of Forensic Practitioners: Establish accreditation standards for AI forensic experts, akin to digital-evidence certifications in cybersecurity, to ensure admissibility and methodological rigor.</w:t>
      </w:r>
    </w:p>
    <w:p w14:paraId="600C067F" w14:textId="4071402B" w:rsidR="00453AA7" w:rsidRPr="00453AA7" w:rsidRDefault="00453AA7" w:rsidP="00366540">
      <w:pPr>
        <w:jc w:val="both"/>
        <w:rPr>
          <w:rFonts w:cstheme="minorHAnsi"/>
          <w:sz w:val="22"/>
          <w:szCs w:val="22"/>
        </w:rPr>
      </w:pPr>
      <w:r w:rsidRPr="00453AA7">
        <w:rPr>
          <w:rFonts w:cstheme="minorHAnsi"/>
          <w:sz w:val="22"/>
          <w:szCs w:val="22"/>
        </w:rPr>
        <w:t>These measures would reduce litigation delays, ensure forensic investigators can access necessary data, and distribute liability in a manner that incentivi</w:t>
      </w:r>
      <w:r w:rsidR="00366540">
        <w:rPr>
          <w:rFonts w:cstheme="minorHAnsi"/>
          <w:sz w:val="22"/>
          <w:szCs w:val="22"/>
        </w:rPr>
        <w:t>s</w:t>
      </w:r>
      <w:r w:rsidRPr="00453AA7">
        <w:rPr>
          <w:rFonts w:cstheme="minorHAnsi"/>
          <w:sz w:val="22"/>
          <w:szCs w:val="22"/>
        </w:rPr>
        <w:t>es robust system design.</w:t>
      </w:r>
    </w:p>
    <w:p w14:paraId="48622DCC" w14:textId="3C2AFF33" w:rsidR="00453AA7" w:rsidRPr="00453AA7" w:rsidRDefault="00453AA7" w:rsidP="00366540">
      <w:pPr>
        <w:pStyle w:val="Heading1"/>
        <w:jc w:val="both"/>
      </w:pPr>
      <w:r w:rsidRPr="00453AA7">
        <w:t>Conclusion</w:t>
      </w:r>
    </w:p>
    <w:p w14:paraId="7983C804" w14:textId="64F5757C" w:rsidR="00453AA7" w:rsidRPr="00453AA7" w:rsidRDefault="00453AA7" w:rsidP="00366540">
      <w:pPr>
        <w:jc w:val="both"/>
        <w:rPr>
          <w:rFonts w:cstheme="minorHAnsi"/>
          <w:sz w:val="22"/>
          <w:szCs w:val="22"/>
        </w:rPr>
      </w:pPr>
      <w:r w:rsidRPr="00453AA7">
        <w:rPr>
          <w:rFonts w:cstheme="minorHAnsi"/>
          <w:sz w:val="22"/>
          <w:szCs w:val="22"/>
        </w:rPr>
        <w:t>Agentic AI in autonomous vehicles challenges foundational assumptions of digital forensics. Opaque decision-making, ephemeral memory, proprietary constraints, and fragmented liability render traditional investigative techniques insufficient. Case studies</w:t>
      </w:r>
      <w:r w:rsidR="00366540">
        <w:rPr>
          <w:rFonts w:cstheme="minorHAnsi"/>
          <w:sz w:val="22"/>
          <w:szCs w:val="22"/>
        </w:rPr>
        <w:t xml:space="preserve">, </w:t>
      </w:r>
      <w:r w:rsidRPr="00453AA7">
        <w:rPr>
          <w:rFonts w:cstheme="minorHAnsi"/>
          <w:sz w:val="22"/>
          <w:szCs w:val="22"/>
        </w:rPr>
        <w:t>from the 2018 Uber fatality to ongoing Tesla Autopilot suits</w:t>
      </w:r>
      <w:r w:rsidR="00366540">
        <w:rPr>
          <w:rFonts w:cstheme="minorHAnsi"/>
          <w:sz w:val="22"/>
          <w:szCs w:val="22"/>
        </w:rPr>
        <w:t xml:space="preserve">, </w:t>
      </w:r>
      <w:r w:rsidRPr="00453AA7">
        <w:rPr>
          <w:rFonts w:cstheme="minorHAnsi"/>
          <w:sz w:val="22"/>
          <w:szCs w:val="22"/>
        </w:rPr>
        <w:t>underscore how forensic gaps can hinder root-cause analysis and impede accountability.</w:t>
      </w:r>
    </w:p>
    <w:p w14:paraId="4F9D4AA5" w14:textId="3F02EF36" w:rsidR="00453AA7" w:rsidRPr="00453AA7" w:rsidRDefault="00453AA7" w:rsidP="00366540">
      <w:pPr>
        <w:jc w:val="both"/>
        <w:rPr>
          <w:rFonts w:cstheme="minorHAnsi"/>
          <w:sz w:val="22"/>
          <w:szCs w:val="22"/>
        </w:rPr>
      </w:pPr>
      <w:r w:rsidRPr="00453AA7">
        <w:rPr>
          <w:rFonts w:cstheme="minorHAnsi"/>
          <w:sz w:val="22"/>
          <w:szCs w:val="22"/>
        </w:rPr>
        <w:t>This paper’s proposed reforms</w:t>
      </w:r>
      <w:r w:rsidR="00366540">
        <w:rPr>
          <w:rFonts w:cstheme="minorHAnsi"/>
          <w:sz w:val="22"/>
          <w:szCs w:val="22"/>
        </w:rPr>
        <w:t xml:space="preserve">, </w:t>
      </w:r>
      <w:r w:rsidRPr="00453AA7">
        <w:rPr>
          <w:rFonts w:cstheme="minorHAnsi"/>
          <w:sz w:val="22"/>
          <w:szCs w:val="22"/>
        </w:rPr>
        <w:t>mandatory explainability, standardi</w:t>
      </w:r>
      <w:r w:rsidR="00366540">
        <w:rPr>
          <w:rFonts w:cstheme="minorHAnsi"/>
          <w:sz w:val="22"/>
          <w:szCs w:val="22"/>
        </w:rPr>
        <w:t>s</w:t>
      </w:r>
      <w:r w:rsidRPr="00453AA7">
        <w:rPr>
          <w:rFonts w:cstheme="minorHAnsi"/>
          <w:sz w:val="22"/>
          <w:szCs w:val="22"/>
        </w:rPr>
        <w:t>ed logging, and targeted legal frameworks</w:t>
      </w:r>
      <w:r w:rsidR="00366540">
        <w:rPr>
          <w:rFonts w:cstheme="minorHAnsi"/>
          <w:sz w:val="22"/>
          <w:szCs w:val="22"/>
        </w:rPr>
        <w:t xml:space="preserve">, </w:t>
      </w:r>
      <w:r w:rsidRPr="00453AA7">
        <w:rPr>
          <w:rFonts w:cstheme="minorHAnsi"/>
          <w:sz w:val="22"/>
          <w:szCs w:val="22"/>
        </w:rPr>
        <w:t>seek to embed forensic readiness into AV design, streamline cross-jurisdictional investigations, and align incentives for safety. As AV technologies mature and diffuse globally, forging a transparent, robust, and equitable forensic ecosystem becomes not merely desirable but indispensable for public trust and the rule of law.</w:t>
      </w:r>
    </w:p>
    <w:p w14:paraId="60458C42" w14:textId="77777777" w:rsidR="00453AA7" w:rsidRPr="00453AA7" w:rsidRDefault="00453AA7" w:rsidP="00366540">
      <w:pPr>
        <w:pStyle w:val="Heading1"/>
        <w:jc w:val="both"/>
      </w:pPr>
      <w:r w:rsidRPr="00453AA7">
        <w:t>References</w:t>
      </w:r>
    </w:p>
    <w:p w14:paraId="6722A487" w14:textId="77777777" w:rsidR="00453AA7" w:rsidRPr="00453AA7" w:rsidRDefault="00453AA7" w:rsidP="00366540">
      <w:pPr>
        <w:jc w:val="both"/>
        <w:rPr>
          <w:rFonts w:cstheme="minorHAnsi"/>
          <w:sz w:val="22"/>
          <w:szCs w:val="22"/>
        </w:rPr>
      </w:pPr>
      <w:r w:rsidRPr="00453AA7">
        <w:rPr>
          <w:rFonts w:cstheme="minorHAnsi"/>
          <w:sz w:val="22"/>
          <w:szCs w:val="22"/>
        </w:rPr>
        <w:t xml:space="preserve">Buolamwini, J. &amp; Gebru, T., 2018. Gender shades: Intersectional accuracy disparities in commercial gender classification. </w:t>
      </w:r>
      <w:r w:rsidRPr="00453AA7">
        <w:rPr>
          <w:rFonts w:cstheme="minorHAnsi"/>
          <w:i/>
          <w:iCs/>
          <w:sz w:val="22"/>
          <w:szCs w:val="22"/>
        </w:rPr>
        <w:t>Proceedings of Machine Learning Research</w:t>
      </w:r>
      <w:r w:rsidRPr="00453AA7">
        <w:rPr>
          <w:rFonts w:cstheme="minorHAnsi"/>
          <w:sz w:val="22"/>
          <w:szCs w:val="22"/>
        </w:rPr>
        <w:t>, 81, pp.1–15.</w:t>
      </w:r>
    </w:p>
    <w:p w14:paraId="370EC61B" w14:textId="77777777" w:rsidR="00453AA7" w:rsidRPr="00453AA7" w:rsidRDefault="00453AA7" w:rsidP="00366540">
      <w:pPr>
        <w:jc w:val="both"/>
        <w:rPr>
          <w:rFonts w:cstheme="minorHAnsi"/>
          <w:sz w:val="22"/>
          <w:szCs w:val="22"/>
        </w:rPr>
      </w:pPr>
      <w:r w:rsidRPr="00453AA7">
        <w:rPr>
          <w:rFonts w:cstheme="minorHAnsi"/>
          <w:sz w:val="22"/>
          <w:szCs w:val="22"/>
        </w:rPr>
        <w:t xml:space="preserve">Burrell, J., 2016. How the machine ‘thinks’: Understanding opacity in machine learning algorithms. </w:t>
      </w:r>
      <w:r w:rsidRPr="00453AA7">
        <w:rPr>
          <w:rFonts w:cstheme="minorHAnsi"/>
          <w:i/>
          <w:iCs/>
          <w:sz w:val="22"/>
          <w:szCs w:val="22"/>
        </w:rPr>
        <w:t>Big Data &amp; Society</w:t>
      </w:r>
      <w:r w:rsidRPr="00453AA7">
        <w:rPr>
          <w:rFonts w:cstheme="minorHAnsi"/>
          <w:sz w:val="22"/>
          <w:szCs w:val="22"/>
        </w:rPr>
        <w:t>, 3(1), pp.1–12.</w:t>
      </w:r>
    </w:p>
    <w:p w14:paraId="4CD2C556" w14:textId="77777777" w:rsidR="00453AA7" w:rsidRPr="00453AA7" w:rsidRDefault="00453AA7" w:rsidP="00366540">
      <w:pPr>
        <w:jc w:val="both"/>
        <w:rPr>
          <w:rFonts w:cstheme="minorHAnsi"/>
          <w:sz w:val="22"/>
          <w:szCs w:val="22"/>
        </w:rPr>
      </w:pPr>
      <w:r w:rsidRPr="00453AA7">
        <w:rPr>
          <w:rFonts w:cstheme="minorHAnsi"/>
          <w:sz w:val="22"/>
          <w:szCs w:val="22"/>
        </w:rPr>
        <w:t xml:space="preserve">Casey, E. et al., 2020. Forensic implications of deep learning in autonomous vehicles. In: </w:t>
      </w:r>
      <w:r w:rsidRPr="00453AA7">
        <w:rPr>
          <w:rFonts w:cstheme="minorHAnsi"/>
          <w:i/>
          <w:iCs/>
          <w:sz w:val="22"/>
          <w:szCs w:val="22"/>
        </w:rPr>
        <w:t>Digital Forensics Research Conference</w:t>
      </w:r>
      <w:r w:rsidRPr="00453AA7">
        <w:rPr>
          <w:rFonts w:cstheme="minorHAnsi"/>
          <w:sz w:val="22"/>
          <w:szCs w:val="22"/>
        </w:rPr>
        <w:t>.</w:t>
      </w:r>
    </w:p>
    <w:p w14:paraId="4CE951AD" w14:textId="77777777" w:rsidR="00453AA7" w:rsidRPr="00453AA7" w:rsidRDefault="00453AA7" w:rsidP="00366540">
      <w:pPr>
        <w:jc w:val="both"/>
        <w:rPr>
          <w:rFonts w:cstheme="minorHAnsi"/>
          <w:sz w:val="22"/>
          <w:szCs w:val="22"/>
        </w:rPr>
      </w:pPr>
      <w:r w:rsidRPr="00453AA7">
        <w:rPr>
          <w:rFonts w:cstheme="minorHAnsi"/>
          <w:sz w:val="22"/>
          <w:szCs w:val="22"/>
        </w:rPr>
        <w:t xml:space="preserve">European Commission, 2021. Proposal for a Regulation of the European Parliament and of the Council on artificial intelligence. </w:t>
      </w:r>
      <w:proofErr w:type="gramStart"/>
      <w:r w:rsidRPr="00453AA7">
        <w:rPr>
          <w:rFonts w:cstheme="minorHAnsi"/>
          <w:sz w:val="22"/>
          <w:szCs w:val="22"/>
        </w:rPr>
        <w:t>COM(</w:t>
      </w:r>
      <w:proofErr w:type="gramEnd"/>
      <w:r w:rsidRPr="00453AA7">
        <w:rPr>
          <w:rFonts w:cstheme="minorHAnsi"/>
          <w:sz w:val="22"/>
          <w:szCs w:val="22"/>
        </w:rPr>
        <w:t>2021)206.</w:t>
      </w:r>
    </w:p>
    <w:p w14:paraId="2DEF4718" w14:textId="77777777" w:rsidR="00453AA7" w:rsidRPr="00453AA7" w:rsidRDefault="00453AA7" w:rsidP="00366540">
      <w:pPr>
        <w:jc w:val="both"/>
        <w:rPr>
          <w:rFonts w:cstheme="minorHAnsi"/>
          <w:sz w:val="22"/>
          <w:szCs w:val="22"/>
        </w:rPr>
      </w:pPr>
      <w:proofErr w:type="spellStart"/>
      <w:r w:rsidRPr="00453AA7">
        <w:rPr>
          <w:rFonts w:cstheme="minorHAnsi"/>
          <w:sz w:val="22"/>
          <w:szCs w:val="22"/>
        </w:rPr>
        <w:lastRenderedPageBreak/>
        <w:t>Gogoll</w:t>
      </w:r>
      <w:proofErr w:type="spellEnd"/>
      <w:r w:rsidRPr="00453AA7">
        <w:rPr>
          <w:rFonts w:cstheme="minorHAnsi"/>
          <w:sz w:val="22"/>
          <w:szCs w:val="22"/>
        </w:rPr>
        <w:t xml:space="preserve">, J. &amp; Müller, J.F., 2017. Autonomous cars: In </w:t>
      </w:r>
      <w:proofErr w:type="spellStart"/>
      <w:r w:rsidRPr="00453AA7">
        <w:rPr>
          <w:rFonts w:cstheme="minorHAnsi"/>
          <w:sz w:val="22"/>
          <w:szCs w:val="22"/>
        </w:rPr>
        <w:t>favor</w:t>
      </w:r>
      <w:proofErr w:type="spellEnd"/>
      <w:r w:rsidRPr="00453AA7">
        <w:rPr>
          <w:rFonts w:cstheme="minorHAnsi"/>
          <w:sz w:val="22"/>
          <w:szCs w:val="22"/>
        </w:rPr>
        <w:t xml:space="preserve"> of a mandatory ethics setting. </w:t>
      </w:r>
      <w:r w:rsidRPr="00453AA7">
        <w:rPr>
          <w:rFonts w:cstheme="minorHAnsi"/>
          <w:i/>
          <w:iCs/>
          <w:sz w:val="22"/>
          <w:szCs w:val="22"/>
        </w:rPr>
        <w:t>Science and Engineering Ethics</w:t>
      </w:r>
      <w:r w:rsidRPr="00453AA7">
        <w:rPr>
          <w:rFonts w:cstheme="minorHAnsi"/>
          <w:sz w:val="22"/>
          <w:szCs w:val="22"/>
        </w:rPr>
        <w:t>, 23(3), pp.681–700.</w:t>
      </w:r>
    </w:p>
    <w:p w14:paraId="4F87371D" w14:textId="77777777" w:rsidR="00453AA7" w:rsidRPr="00453AA7" w:rsidRDefault="00453AA7" w:rsidP="00366540">
      <w:pPr>
        <w:jc w:val="both"/>
        <w:rPr>
          <w:rFonts w:cstheme="minorHAnsi"/>
          <w:sz w:val="22"/>
          <w:szCs w:val="22"/>
        </w:rPr>
      </w:pPr>
      <w:r w:rsidRPr="00453AA7">
        <w:rPr>
          <w:rFonts w:cstheme="minorHAnsi"/>
          <w:sz w:val="22"/>
          <w:szCs w:val="22"/>
        </w:rPr>
        <w:t xml:space="preserve">Goodall, N.J., 2014. Machine ethics and automated vehicles. In: </w:t>
      </w:r>
      <w:r w:rsidRPr="00453AA7">
        <w:rPr>
          <w:rFonts w:cstheme="minorHAnsi"/>
          <w:i/>
          <w:iCs/>
          <w:sz w:val="22"/>
          <w:szCs w:val="22"/>
        </w:rPr>
        <w:t>IEEE Intelligent Vehicles Symposium</w:t>
      </w:r>
      <w:r w:rsidRPr="00453AA7">
        <w:rPr>
          <w:rFonts w:cstheme="minorHAnsi"/>
          <w:sz w:val="22"/>
          <w:szCs w:val="22"/>
        </w:rPr>
        <w:t>, pp.57–62.</w:t>
      </w:r>
    </w:p>
    <w:p w14:paraId="115A33BF" w14:textId="77777777" w:rsidR="00453AA7" w:rsidRPr="00453AA7" w:rsidRDefault="00453AA7" w:rsidP="00366540">
      <w:pPr>
        <w:jc w:val="both"/>
        <w:rPr>
          <w:rFonts w:cstheme="minorHAnsi"/>
          <w:sz w:val="22"/>
          <w:szCs w:val="22"/>
        </w:rPr>
      </w:pPr>
      <w:proofErr w:type="spellStart"/>
      <w:r w:rsidRPr="00453AA7">
        <w:rPr>
          <w:rFonts w:cstheme="minorHAnsi"/>
          <w:sz w:val="22"/>
          <w:szCs w:val="22"/>
        </w:rPr>
        <w:t>Hevelke</w:t>
      </w:r>
      <w:proofErr w:type="spellEnd"/>
      <w:r w:rsidRPr="00453AA7">
        <w:rPr>
          <w:rFonts w:cstheme="minorHAnsi"/>
          <w:sz w:val="22"/>
          <w:szCs w:val="22"/>
        </w:rPr>
        <w:t>, A. &amp; Nida-</w:t>
      </w:r>
      <w:proofErr w:type="spellStart"/>
      <w:r w:rsidRPr="00453AA7">
        <w:rPr>
          <w:rFonts w:cstheme="minorHAnsi"/>
          <w:sz w:val="22"/>
          <w:szCs w:val="22"/>
        </w:rPr>
        <w:t>Rümelin</w:t>
      </w:r>
      <w:proofErr w:type="spellEnd"/>
      <w:r w:rsidRPr="00453AA7">
        <w:rPr>
          <w:rFonts w:cstheme="minorHAnsi"/>
          <w:sz w:val="22"/>
          <w:szCs w:val="22"/>
        </w:rPr>
        <w:t xml:space="preserve">, J., 2015. Responsibility for crashes of autonomous vehicles: An ethical analysis. </w:t>
      </w:r>
      <w:r w:rsidRPr="00453AA7">
        <w:rPr>
          <w:rFonts w:cstheme="minorHAnsi"/>
          <w:i/>
          <w:iCs/>
          <w:sz w:val="22"/>
          <w:szCs w:val="22"/>
        </w:rPr>
        <w:t>Science and Engineering Ethics</w:t>
      </w:r>
      <w:r w:rsidRPr="00453AA7">
        <w:rPr>
          <w:rFonts w:cstheme="minorHAnsi"/>
          <w:sz w:val="22"/>
          <w:szCs w:val="22"/>
        </w:rPr>
        <w:t>, 21(3), pp.619–630.</w:t>
      </w:r>
    </w:p>
    <w:p w14:paraId="4C7FE28E" w14:textId="77777777" w:rsidR="00453AA7" w:rsidRPr="00453AA7" w:rsidRDefault="00453AA7" w:rsidP="00366540">
      <w:pPr>
        <w:jc w:val="both"/>
        <w:rPr>
          <w:rFonts w:cstheme="minorHAnsi"/>
          <w:sz w:val="22"/>
          <w:szCs w:val="22"/>
        </w:rPr>
      </w:pPr>
      <w:r w:rsidRPr="00453AA7">
        <w:rPr>
          <w:rFonts w:cstheme="minorHAnsi"/>
          <w:sz w:val="22"/>
          <w:szCs w:val="22"/>
        </w:rPr>
        <w:t xml:space="preserve">Kendall, A. et al., 2019. Autopilot infraction logging in electric vehicles. </w:t>
      </w:r>
      <w:r w:rsidRPr="00453AA7">
        <w:rPr>
          <w:rFonts w:cstheme="minorHAnsi"/>
          <w:i/>
          <w:iCs/>
          <w:sz w:val="22"/>
          <w:szCs w:val="22"/>
        </w:rPr>
        <w:t>Automotive Software Systems</w:t>
      </w:r>
      <w:r w:rsidRPr="00453AA7">
        <w:rPr>
          <w:rFonts w:cstheme="minorHAnsi"/>
          <w:sz w:val="22"/>
          <w:szCs w:val="22"/>
        </w:rPr>
        <w:t>, 12(4), pp.234–245.</w:t>
      </w:r>
    </w:p>
    <w:p w14:paraId="612335F4" w14:textId="77777777" w:rsidR="00453AA7" w:rsidRPr="00453AA7" w:rsidRDefault="00453AA7" w:rsidP="00366540">
      <w:pPr>
        <w:jc w:val="both"/>
        <w:rPr>
          <w:rFonts w:cstheme="minorHAnsi"/>
          <w:sz w:val="22"/>
          <w:szCs w:val="22"/>
        </w:rPr>
      </w:pPr>
      <w:r w:rsidRPr="00453AA7">
        <w:rPr>
          <w:rFonts w:cstheme="minorHAnsi"/>
          <w:sz w:val="22"/>
          <w:szCs w:val="22"/>
        </w:rPr>
        <w:t xml:space="preserve">LeCun, Y., Bengio, Y. &amp; Hinton, G., 2015. Deep learning. </w:t>
      </w:r>
      <w:r w:rsidRPr="00453AA7">
        <w:rPr>
          <w:rFonts w:cstheme="minorHAnsi"/>
          <w:i/>
          <w:iCs/>
          <w:sz w:val="22"/>
          <w:szCs w:val="22"/>
        </w:rPr>
        <w:t>Nature</w:t>
      </w:r>
      <w:r w:rsidRPr="00453AA7">
        <w:rPr>
          <w:rFonts w:cstheme="minorHAnsi"/>
          <w:sz w:val="22"/>
          <w:szCs w:val="22"/>
        </w:rPr>
        <w:t>, 521(7553), pp.436–444.</w:t>
      </w:r>
    </w:p>
    <w:p w14:paraId="1ED9BFB6" w14:textId="77777777" w:rsidR="00453AA7" w:rsidRPr="00453AA7" w:rsidRDefault="00453AA7" w:rsidP="00366540">
      <w:pPr>
        <w:jc w:val="both"/>
        <w:rPr>
          <w:rFonts w:cstheme="minorHAnsi"/>
          <w:sz w:val="22"/>
          <w:szCs w:val="22"/>
        </w:rPr>
      </w:pPr>
      <w:r w:rsidRPr="00453AA7">
        <w:rPr>
          <w:rFonts w:cstheme="minorHAnsi"/>
          <w:sz w:val="22"/>
          <w:szCs w:val="22"/>
        </w:rPr>
        <w:t xml:space="preserve">Milne, R. et al., 2020. Blockchain-secured logging for autonomous vehicle forensics. </w:t>
      </w:r>
      <w:r w:rsidRPr="00453AA7">
        <w:rPr>
          <w:rFonts w:cstheme="minorHAnsi"/>
          <w:i/>
          <w:iCs/>
          <w:sz w:val="22"/>
          <w:szCs w:val="22"/>
        </w:rPr>
        <w:t>Journal of Digital Forensics, Security and Law</w:t>
      </w:r>
      <w:r w:rsidRPr="00453AA7">
        <w:rPr>
          <w:rFonts w:cstheme="minorHAnsi"/>
          <w:sz w:val="22"/>
          <w:szCs w:val="22"/>
        </w:rPr>
        <w:t>, 15(2), pp.45–60.</w:t>
      </w:r>
    </w:p>
    <w:p w14:paraId="229C7C71" w14:textId="77777777" w:rsidR="00453AA7" w:rsidRPr="00453AA7" w:rsidRDefault="00453AA7" w:rsidP="00366540">
      <w:pPr>
        <w:jc w:val="both"/>
        <w:rPr>
          <w:rFonts w:cstheme="minorHAnsi"/>
          <w:sz w:val="22"/>
          <w:szCs w:val="22"/>
        </w:rPr>
      </w:pPr>
      <w:r w:rsidRPr="00453AA7">
        <w:rPr>
          <w:rFonts w:cstheme="minorHAnsi"/>
          <w:sz w:val="22"/>
          <w:szCs w:val="22"/>
        </w:rPr>
        <w:t xml:space="preserve">NHTSA, 2019. Event data recorders: Final rule. </w:t>
      </w:r>
      <w:r w:rsidRPr="00453AA7">
        <w:rPr>
          <w:rFonts w:cstheme="minorHAnsi"/>
          <w:i/>
          <w:iCs/>
          <w:sz w:val="22"/>
          <w:szCs w:val="22"/>
        </w:rPr>
        <w:t>Federal Motor Vehicle Safety Standards</w:t>
      </w:r>
      <w:r w:rsidRPr="00453AA7">
        <w:rPr>
          <w:rFonts w:cstheme="minorHAnsi"/>
          <w:sz w:val="22"/>
          <w:szCs w:val="22"/>
        </w:rPr>
        <w:t>, FMVSS No. 208.</w:t>
      </w:r>
    </w:p>
    <w:p w14:paraId="685EADED" w14:textId="77777777" w:rsidR="00453AA7" w:rsidRPr="00453AA7" w:rsidRDefault="00453AA7" w:rsidP="00366540">
      <w:pPr>
        <w:jc w:val="both"/>
        <w:rPr>
          <w:rFonts w:cstheme="minorHAnsi"/>
          <w:sz w:val="22"/>
          <w:szCs w:val="22"/>
        </w:rPr>
      </w:pPr>
      <w:r w:rsidRPr="00453AA7">
        <w:rPr>
          <w:rFonts w:cstheme="minorHAnsi"/>
          <w:sz w:val="22"/>
          <w:szCs w:val="22"/>
        </w:rPr>
        <w:t>NHTSA, 2022. Preliminary evaluation PE21-020: Tesla Autopilot. National Highway Traffic Safety Administration.</w:t>
      </w:r>
    </w:p>
    <w:p w14:paraId="134343C1" w14:textId="0431D7CE" w:rsidR="00453AA7" w:rsidRPr="00453AA7" w:rsidRDefault="00453AA7" w:rsidP="00366540">
      <w:pPr>
        <w:jc w:val="both"/>
        <w:rPr>
          <w:rFonts w:cstheme="minorHAnsi"/>
          <w:sz w:val="22"/>
          <w:szCs w:val="22"/>
        </w:rPr>
      </w:pPr>
      <w:r w:rsidRPr="00453AA7">
        <w:rPr>
          <w:rFonts w:cstheme="minorHAnsi"/>
          <w:sz w:val="22"/>
          <w:szCs w:val="22"/>
        </w:rPr>
        <w:t>NTSB, 2019. Collision between vehicle controlled by developmental automated driving system and pedestrian</w:t>
      </w:r>
      <w:r w:rsidR="00366540">
        <w:rPr>
          <w:rFonts w:cstheme="minorHAnsi"/>
          <w:sz w:val="22"/>
          <w:szCs w:val="22"/>
        </w:rPr>
        <w:t xml:space="preserve">, </w:t>
      </w:r>
      <w:r w:rsidRPr="00453AA7">
        <w:rPr>
          <w:rFonts w:cstheme="minorHAnsi"/>
          <w:sz w:val="22"/>
          <w:szCs w:val="22"/>
        </w:rPr>
        <w:t xml:space="preserve">Tempe, </w:t>
      </w:r>
      <w:proofErr w:type="spellStart"/>
      <w:r w:rsidRPr="00453AA7">
        <w:rPr>
          <w:rFonts w:cstheme="minorHAnsi"/>
          <w:sz w:val="22"/>
          <w:szCs w:val="22"/>
        </w:rPr>
        <w:t>Ari</w:t>
      </w:r>
      <w:r w:rsidR="00366540">
        <w:rPr>
          <w:rFonts w:cstheme="minorHAnsi"/>
          <w:sz w:val="22"/>
          <w:szCs w:val="22"/>
        </w:rPr>
        <w:t>s</w:t>
      </w:r>
      <w:r w:rsidRPr="00453AA7">
        <w:rPr>
          <w:rFonts w:cstheme="minorHAnsi"/>
          <w:sz w:val="22"/>
          <w:szCs w:val="22"/>
        </w:rPr>
        <w:t>ona</w:t>
      </w:r>
      <w:proofErr w:type="spellEnd"/>
      <w:r w:rsidRPr="00453AA7">
        <w:rPr>
          <w:rFonts w:cstheme="minorHAnsi"/>
          <w:sz w:val="22"/>
          <w:szCs w:val="22"/>
        </w:rPr>
        <w:t xml:space="preserve">. </w:t>
      </w:r>
      <w:r w:rsidRPr="00453AA7">
        <w:rPr>
          <w:rFonts w:cstheme="minorHAnsi"/>
          <w:i/>
          <w:iCs/>
          <w:sz w:val="22"/>
          <w:szCs w:val="22"/>
        </w:rPr>
        <w:t>Highway Accident Report</w:t>
      </w:r>
      <w:r w:rsidRPr="00453AA7">
        <w:rPr>
          <w:rFonts w:cstheme="minorHAnsi"/>
          <w:sz w:val="22"/>
          <w:szCs w:val="22"/>
        </w:rPr>
        <w:t>, NTSB/HAR-19/02.</w:t>
      </w:r>
    </w:p>
    <w:p w14:paraId="168AF0BF" w14:textId="2CFEF88B" w:rsidR="00453AA7" w:rsidRPr="00453AA7" w:rsidRDefault="00453AA7" w:rsidP="00366540">
      <w:pPr>
        <w:jc w:val="both"/>
        <w:rPr>
          <w:rFonts w:cstheme="minorHAnsi"/>
          <w:sz w:val="22"/>
          <w:szCs w:val="22"/>
        </w:rPr>
      </w:pPr>
      <w:r w:rsidRPr="00453AA7">
        <w:rPr>
          <w:rFonts w:cstheme="minorHAnsi"/>
          <w:sz w:val="22"/>
          <w:szCs w:val="22"/>
        </w:rPr>
        <w:t xml:space="preserve">Ribeiro, M.T., Singh, S. &amp; </w:t>
      </w:r>
      <w:proofErr w:type="spellStart"/>
      <w:r w:rsidRPr="00453AA7">
        <w:rPr>
          <w:rFonts w:cstheme="minorHAnsi"/>
          <w:sz w:val="22"/>
          <w:szCs w:val="22"/>
        </w:rPr>
        <w:t>Guestrin</w:t>
      </w:r>
      <w:proofErr w:type="spellEnd"/>
      <w:r w:rsidRPr="00453AA7">
        <w:rPr>
          <w:rFonts w:cstheme="minorHAnsi"/>
          <w:sz w:val="22"/>
          <w:szCs w:val="22"/>
        </w:rPr>
        <w:t xml:space="preserve">, C., 2016. </w:t>
      </w:r>
      <w:r w:rsidR="00366540">
        <w:rPr>
          <w:rFonts w:cstheme="minorHAnsi"/>
          <w:sz w:val="22"/>
          <w:szCs w:val="22"/>
        </w:rPr>
        <w:t>‘</w:t>
      </w:r>
      <w:r w:rsidRPr="00453AA7">
        <w:rPr>
          <w:rFonts w:cstheme="minorHAnsi"/>
          <w:sz w:val="22"/>
          <w:szCs w:val="22"/>
        </w:rPr>
        <w:t>Why should I trust you?</w:t>
      </w:r>
      <w:r w:rsidR="00366540">
        <w:rPr>
          <w:rFonts w:cstheme="minorHAnsi"/>
          <w:sz w:val="22"/>
          <w:szCs w:val="22"/>
        </w:rPr>
        <w:t>’</w:t>
      </w:r>
      <w:r w:rsidRPr="00453AA7">
        <w:rPr>
          <w:rFonts w:cstheme="minorHAnsi"/>
          <w:sz w:val="22"/>
          <w:szCs w:val="22"/>
        </w:rPr>
        <w:t xml:space="preserve"> Explaining the predictions of any classifier. In: </w:t>
      </w:r>
      <w:r w:rsidRPr="00453AA7">
        <w:rPr>
          <w:rFonts w:cstheme="minorHAnsi"/>
          <w:i/>
          <w:iCs/>
          <w:sz w:val="22"/>
          <w:szCs w:val="22"/>
        </w:rPr>
        <w:t>Proceedings of the 22nd ACM SIGKDD International Conference on Knowledge Discovery and Data Mining</w:t>
      </w:r>
      <w:r w:rsidRPr="00453AA7">
        <w:rPr>
          <w:rFonts w:cstheme="minorHAnsi"/>
          <w:sz w:val="22"/>
          <w:szCs w:val="22"/>
        </w:rPr>
        <w:t>, pp.1135–1144.</w:t>
      </w:r>
    </w:p>
    <w:p w14:paraId="6B429A9D" w14:textId="5FDAC2B9" w:rsidR="00453AA7" w:rsidRPr="00453AA7" w:rsidRDefault="00453AA7" w:rsidP="00366540">
      <w:pPr>
        <w:jc w:val="both"/>
        <w:rPr>
          <w:rFonts w:cstheme="minorHAnsi"/>
          <w:sz w:val="22"/>
          <w:szCs w:val="22"/>
        </w:rPr>
      </w:pPr>
      <w:r w:rsidRPr="00453AA7">
        <w:rPr>
          <w:rFonts w:cstheme="minorHAnsi"/>
          <w:sz w:val="22"/>
          <w:szCs w:val="22"/>
        </w:rPr>
        <w:t>Samek, W. et al., 2019. Explainable AI: Interpreting, explaining, and visuali</w:t>
      </w:r>
      <w:r w:rsidR="00366540">
        <w:rPr>
          <w:rFonts w:cstheme="minorHAnsi"/>
          <w:sz w:val="22"/>
          <w:szCs w:val="22"/>
        </w:rPr>
        <w:t>s</w:t>
      </w:r>
      <w:r w:rsidRPr="00453AA7">
        <w:rPr>
          <w:rFonts w:cstheme="minorHAnsi"/>
          <w:sz w:val="22"/>
          <w:szCs w:val="22"/>
        </w:rPr>
        <w:t xml:space="preserve">ing deep learning. </w:t>
      </w:r>
      <w:r w:rsidRPr="00453AA7">
        <w:rPr>
          <w:rFonts w:cstheme="minorHAnsi"/>
          <w:i/>
          <w:iCs/>
          <w:sz w:val="22"/>
          <w:szCs w:val="22"/>
        </w:rPr>
        <w:t>Lecture Notes in Computer Science</w:t>
      </w:r>
      <w:r w:rsidRPr="00453AA7">
        <w:rPr>
          <w:rFonts w:cstheme="minorHAnsi"/>
          <w:sz w:val="22"/>
          <w:szCs w:val="22"/>
        </w:rPr>
        <w:t>, vol. 11700.</w:t>
      </w:r>
    </w:p>
    <w:p w14:paraId="753260F5" w14:textId="77777777" w:rsidR="00453AA7" w:rsidRPr="00453AA7" w:rsidRDefault="00453AA7" w:rsidP="00366540">
      <w:pPr>
        <w:jc w:val="both"/>
        <w:rPr>
          <w:rFonts w:cstheme="minorHAnsi"/>
          <w:sz w:val="22"/>
          <w:szCs w:val="22"/>
        </w:rPr>
      </w:pPr>
      <w:r w:rsidRPr="00453AA7">
        <w:rPr>
          <w:rFonts w:cstheme="minorHAnsi"/>
          <w:sz w:val="22"/>
          <w:szCs w:val="22"/>
        </w:rPr>
        <w:t>Tesla, Inc., 2021. Vehicle software update 2021.36.25 release notes. Tesla Technical Bulletin.</w:t>
      </w:r>
    </w:p>
    <w:p w14:paraId="28BE94CF" w14:textId="77777777" w:rsidR="00453AA7" w:rsidRPr="00453AA7" w:rsidRDefault="00453AA7" w:rsidP="00366540">
      <w:pPr>
        <w:jc w:val="both"/>
        <w:rPr>
          <w:rFonts w:cstheme="minorHAnsi"/>
          <w:sz w:val="22"/>
          <w:szCs w:val="22"/>
        </w:rPr>
      </w:pPr>
      <w:proofErr w:type="spellStart"/>
      <w:r w:rsidRPr="00453AA7">
        <w:rPr>
          <w:rFonts w:cstheme="minorHAnsi"/>
          <w:sz w:val="22"/>
          <w:szCs w:val="22"/>
        </w:rPr>
        <w:t>Tramèr</w:t>
      </w:r>
      <w:proofErr w:type="spellEnd"/>
      <w:r w:rsidRPr="00453AA7">
        <w:rPr>
          <w:rFonts w:cstheme="minorHAnsi"/>
          <w:sz w:val="22"/>
          <w:szCs w:val="22"/>
        </w:rPr>
        <w:t xml:space="preserve">, F. et al., 2016. Stealing machine learning models via prediction APIs. In: </w:t>
      </w:r>
      <w:r w:rsidRPr="00453AA7">
        <w:rPr>
          <w:rFonts w:cstheme="minorHAnsi"/>
          <w:i/>
          <w:iCs/>
          <w:sz w:val="22"/>
          <w:szCs w:val="22"/>
        </w:rPr>
        <w:t>25th USENIX Security Symposium</w:t>
      </w:r>
      <w:r w:rsidRPr="00453AA7">
        <w:rPr>
          <w:rFonts w:cstheme="minorHAnsi"/>
          <w:sz w:val="22"/>
          <w:szCs w:val="22"/>
        </w:rPr>
        <w:t>, pp.601–618.</w:t>
      </w:r>
    </w:p>
    <w:p w14:paraId="325FA224" w14:textId="77777777" w:rsidR="00453AA7" w:rsidRPr="00453AA7" w:rsidRDefault="00453AA7" w:rsidP="00366540">
      <w:pPr>
        <w:jc w:val="both"/>
        <w:rPr>
          <w:rFonts w:cstheme="minorHAnsi"/>
          <w:sz w:val="22"/>
          <w:szCs w:val="22"/>
        </w:rPr>
      </w:pPr>
      <w:r w:rsidRPr="00453AA7">
        <w:rPr>
          <w:rFonts w:cstheme="minorHAnsi"/>
          <w:sz w:val="22"/>
          <w:szCs w:val="22"/>
        </w:rPr>
        <w:t xml:space="preserve">Voigt, P. &amp; von </w:t>
      </w:r>
      <w:proofErr w:type="spellStart"/>
      <w:r w:rsidRPr="00453AA7">
        <w:rPr>
          <w:rFonts w:cstheme="minorHAnsi"/>
          <w:sz w:val="22"/>
          <w:szCs w:val="22"/>
        </w:rPr>
        <w:t>dem</w:t>
      </w:r>
      <w:proofErr w:type="spellEnd"/>
      <w:r w:rsidRPr="00453AA7">
        <w:rPr>
          <w:rFonts w:cstheme="minorHAnsi"/>
          <w:sz w:val="22"/>
          <w:szCs w:val="22"/>
        </w:rPr>
        <w:t xml:space="preserve"> </w:t>
      </w:r>
      <w:proofErr w:type="spellStart"/>
      <w:r w:rsidRPr="00453AA7">
        <w:rPr>
          <w:rFonts w:cstheme="minorHAnsi"/>
          <w:sz w:val="22"/>
          <w:szCs w:val="22"/>
        </w:rPr>
        <w:t>Bussche</w:t>
      </w:r>
      <w:proofErr w:type="spellEnd"/>
      <w:r w:rsidRPr="00453AA7">
        <w:rPr>
          <w:rFonts w:cstheme="minorHAnsi"/>
          <w:sz w:val="22"/>
          <w:szCs w:val="22"/>
        </w:rPr>
        <w:t xml:space="preserve">, A., 2017. </w:t>
      </w:r>
      <w:r w:rsidRPr="00453AA7">
        <w:rPr>
          <w:rFonts w:cstheme="minorHAnsi"/>
          <w:i/>
          <w:iCs/>
          <w:sz w:val="22"/>
          <w:szCs w:val="22"/>
        </w:rPr>
        <w:t>The EU General Data Protection Regulation (GDPR)</w:t>
      </w:r>
      <w:r w:rsidRPr="00453AA7">
        <w:rPr>
          <w:rFonts w:cstheme="minorHAnsi"/>
          <w:sz w:val="22"/>
          <w:szCs w:val="22"/>
        </w:rPr>
        <w:t>. Springer.</w:t>
      </w:r>
    </w:p>
    <w:p w14:paraId="19DC09DC" w14:textId="77777777" w:rsidR="00453AA7" w:rsidRPr="00453AA7" w:rsidRDefault="00453AA7" w:rsidP="00366540">
      <w:pPr>
        <w:jc w:val="both"/>
        <w:rPr>
          <w:rFonts w:cstheme="minorHAnsi"/>
          <w:sz w:val="22"/>
          <w:szCs w:val="22"/>
        </w:rPr>
      </w:pPr>
      <w:r w:rsidRPr="00453AA7">
        <w:rPr>
          <w:rFonts w:cstheme="minorHAnsi"/>
          <w:sz w:val="22"/>
          <w:szCs w:val="22"/>
        </w:rPr>
        <w:t xml:space="preserve">Wachter, S., Mittelstadt, B. &amp; </w:t>
      </w:r>
      <w:proofErr w:type="spellStart"/>
      <w:r w:rsidRPr="00453AA7">
        <w:rPr>
          <w:rFonts w:cstheme="minorHAnsi"/>
          <w:sz w:val="22"/>
          <w:szCs w:val="22"/>
        </w:rPr>
        <w:t>Floridi</w:t>
      </w:r>
      <w:proofErr w:type="spellEnd"/>
      <w:r w:rsidRPr="00453AA7">
        <w:rPr>
          <w:rFonts w:cstheme="minorHAnsi"/>
          <w:sz w:val="22"/>
          <w:szCs w:val="22"/>
        </w:rPr>
        <w:t xml:space="preserve">, L., 2017. Transparent, explainable, and accountable AI for robotics. </w:t>
      </w:r>
      <w:r w:rsidRPr="00453AA7">
        <w:rPr>
          <w:rFonts w:cstheme="minorHAnsi"/>
          <w:i/>
          <w:iCs/>
          <w:sz w:val="22"/>
          <w:szCs w:val="22"/>
        </w:rPr>
        <w:t>Science Robotics</w:t>
      </w:r>
      <w:r w:rsidRPr="00453AA7">
        <w:rPr>
          <w:rFonts w:cstheme="minorHAnsi"/>
          <w:sz w:val="22"/>
          <w:szCs w:val="22"/>
        </w:rPr>
        <w:t>, 2(6), eaaw4953.</w:t>
      </w:r>
    </w:p>
    <w:p w14:paraId="5D654249" w14:textId="77777777" w:rsidR="00453AA7" w:rsidRPr="00453AA7" w:rsidRDefault="00453AA7" w:rsidP="00366540">
      <w:pPr>
        <w:jc w:val="both"/>
        <w:rPr>
          <w:rFonts w:cstheme="minorHAnsi"/>
          <w:sz w:val="22"/>
          <w:szCs w:val="22"/>
        </w:rPr>
      </w:pPr>
    </w:p>
    <w:sectPr w:rsidR="00453AA7" w:rsidRPr="00453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5D02"/>
    <w:multiLevelType w:val="hybridMultilevel"/>
    <w:tmpl w:val="E44E2F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3732EA9"/>
    <w:multiLevelType w:val="hybridMultilevel"/>
    <w:tmpl w:val="A56CA62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2DB48A8"/>
    <w:multiLevelType w:val="multilevel"/>
    <w:tmpl w:val="317A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F944E3"/>
    <w:multiLevelType w:val="hybridMultilevel"/>
    <w:tmpl w:val="3B606666"/>
    <w:lvl w:ilvl="0" w:tplc="2BD29C7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5BBB5447"/>
    <w:multiLevelType w:val="hybridMultilevel"/>
    <w:tmpl w:val="CBEEFE48"/>
    <w:lvl w:ilvl="0" w:tplc="F55A16F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8164A7"/>
    <w:multiLevelType w:val="hybridMultilevel"/>
    <w:tmpl w:val="2B965EF4"/>
    <w:lvl w:ilvl="0" w:tplc="2BD29C78">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04663142">
    <w:abstractNumId w:val="2"/>
  </w:num>
  <w:num w:numId="2" w16cid:durableId="1865752658">
    <w:abstractNumId w:val="0"/>
  </w:num>
  <w:num w:numId="3" w16cid:durableId="1690519644">
    <w:abstractNumId w:val="1"/>
  </w:num>
  <w:num w:numId="4" w16cid:durableId="49965066">
    <w:abstractNumId w:val="3"/>
  </w:num>
  <w:num w:numId="5" w16cid:durableId="1741978144">
    <w:abstractNumId w:val="5"/>
  </w:num>
  <w:num w:numId="6" w16cid:durableId="447161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AA7"/>
    <w:rsid w:val="00001EDE"/>
    <w:rsid w:val="000D5201"/>
    <w:rsid w:val="00366540"/>
    <w:rsid w:val="00453AA7"/>
    <w:rsid w:val="004B0BCC"/>
    <w:rsid w:val="00AF58E2"/>
    <w:rsid w:val="00EA22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5BC9"/>
  <w15:chartTrackingRefBased/>
  <w15:docId w15:val="{1EBC8E8D-151C-411B-8995-7E27D5AD3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A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3A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A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A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A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A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A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A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A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A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A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A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A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A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A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A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A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AA7"/>
    <w:rPr>
      <w:rFonts w:eastAsiaTheme="majorEastAsia" w:cstheme="majorBidi"/>
      <w:color w:val="272727" w:themeColor="text1" w:themeTint="D8"/>
    </w:rPr>
  </w:style>
  <w:style w:type="paragraph" w:styleId="Title">
    <w:name w:val="Title"/>
    <w:basedOn w:val="Normal"/>
    <w:next w:val="Normal"/>
    <w:link w:val="TitleChar"/>
    <w:uiPriority w:val="10"/>
    <w:qFormat/>
    <w:rsid w:val="00453A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A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A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A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AA7"/>
    <w:pPr>
      <w:spacing w:before="160"/>
      <w:jc w:val="center"/>
    </w:pPr>
    <w:rPr>
      <w:i/>
      <w:iCs/>
      <w:color w:val="404040" w:themeColor="text1" w:themeTint="BF"/>
    </w:rPr>
  </w:style>
  <w:style w:type="character" w:customStyle="1" w:styleId="QuoteChar">
    <w:name w:val="Quote Char"/>
    <w:basedOn w:val="DefaultParagraphFont"/>
    <w:link w:val="Quote"/>
    <w:uiPriority w:val="29"/>
    <w:rsid w:val="00453AA7"/>
    <w:rPr>
      <w:i/>
      <w:iCs/>
      <w:color w:val="404040" w:themeColor="text1" w:themeTint="BF"/>
    </w:rPr>
  </w:style>
  <w:style w:type="paragraph" w:styleId="ListParagraph">
    <w:name w:val="List Paragraph"/>
    <w:basedOn w:val="Normal"/>
    <w:uiPriority w:val="34"/>
    <w:qFormat/>
    <w:rsid w:val="00453AA7"/>
    <w:pPr>
      <w:ind w:left="720"/>
      <w:contextualSpacing/>
    </w:pPr>
  </w:style>
  <w:style w:type="character" w:styleId="IntenseEmphasis">
    <w:name w:val="Intense Emphasis"/>
    <w:basedOn w:val="DefaultParagraphFont"/>
    <w:uiPriority w:val="21"/>
    <w:qFormat/>
    <w:rsid w:val="00453AA7"/>
    <w:rPr>
      <w:i/>
      <w:iCs/>
      <w:color w:val="2F5496" w:themeColor="accent1" w:themeShade="BF"/>
    </w:rPr>
  </w:style>
  <w:style w:type="paragraph" w:styleId="IntenseQuote">
    <w:name w:val="Intense Quote"/>
    <w:basedOn w:val="Normal"/>
    <w:next w:val="Normal"/>
    <w:link w:val="IntenseQuoteChar"/>
    <w:uiPriority w:val="30"/>
    <w:qFormat/>
    <w:rsid w:val="00453A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AA7"/>
    <w:rPr>
      <w:i/>
      <w:iCs/>
      <w:color w:val="2F5496" w:themeColor="accent1" w:themeShade="BF"/>
    </w:rPr>
  </w:style>
  <w:style w:type="character" w:styleId="IntenseReference">
    <w:name w:val="Intense Reference"/>
    <w:basedOn w:val="DefaultParagraphFont"/>
    <w:uiPriority w:val="32"/>
    <w:qFormat/>
    <w:rsid w:val="00453A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7276">
      <w:bodyDiv w:val="1"/>
      <w:marLeft w:val="0"/>
      <w:marRight w:val="0"/>
      <w:marTop w:val="0"/>
      <w:marBottom w:val="0"/>
      <w:divBdr>
        <w:top w:val="none" w:sz="0" w:space="0" w:color="auto"/>
        <w:left w:val="none" w:sz="0" w:space="0" w:color="auto"/>
        <w:bottom w:val="none" w:sz="0" w:space="0" w:color="auto"/>
        <w:right w:val="none" w:sz="0" w:space="0" w:color="auto"/>
      </w:divBdr>
    </w:div>
    <w:div w:id="1055080637">
      <w:bodyDiv w:val="1"/>
      <w:marLeft w:val="0"/>
      <w:marRight w:val="0"/>
      <w:marTop w:val="0"/>
      <w:marBottom w:val="0"/>
      <w:divBdr>
        <w:top w:val="none" w:sz="0" w:space="0" w:color="auto"/>
        <w:left w:val="none" w:sz="0" w:space="0" w:color="auto"/>
        <w:bottom w:val="none" w:sz="0" w:space="0" w:color="auto"/>
        <w:right w:val="none" w:sz="0" w:space="0" w:color="auto"/>
      </w:divBdr>
    </w:div>
    <w:div w:id="1730417583">
      <w:bodyDiv w:val="1"/>
      <w:marLeft w:val="0"/>
      <w:marRight w:val="0"/>
      <w:marTop w:val="0"/>
      <w:marBottom w:val="0"/>
      <w:divBdr>
        <w:top w:val="none" w:sz="0" w:space="0" w:color="auto"/>
        <w:left w:val="none" w:sz="0" w:space="0" w:color="auto"/>
        <w:bottom w:val="none" w:sz="0" w:space="0" w:color="auto"/>
        <w:right w:val="none" w:sz="0" w:space="0" w:color="auto"/>
      </w:divBdr>
    </w:div>
    <w:div w:id="1953434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2854</Words>
  <Characters>16269</Characters>
  <Application>Microsoft Office Word</Application>
  <DocSecurity>0</DocSecurity>
  <Lines>135</Lines>
  <Paragraphs>38</Paragraphs>
  <ScaleCrop>false</ScaleCrop>
  <Company/>
  <LinksUpToDate>false</LinksUpToDate>
  <CharactersWithSpaces>19085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2025-11-09T17:34:00Z</dcterms:created>
  <dcterms:modified xsi:type="dcterms:W3CDTF">2025-11-09T17:34:00Z</dcterms:modified>
</cp:coreProperties>
</file>