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72"/>
          <w:szCs w:val="72"/>
        </w:rPr>
        <w:t xml:space="preserve">PESLY</w:t>
      </w:r>
    </w:p>
    <w:p>
      <w:pPr>
        <w:spacing w:before="160"/>
        <w:jc w:val="center"/>
      </w:pPr>
      <w:r>
        <w:rPr>
          <w:b/>
          <w:bCs/>
          <w:color w:val="B8860B"/>
          <w:sz w:val="30"/>
          <w:szCs w:val="30"/>
        </w:rPr>
        <w:t xml:space="preserve">Fleet-Owner Earnings Intelligence for Kenya's Ride-Hailing Economy</w:t>
      </w:r>
    </w:p>
    <w:p>
      <w:pPr>
        <w:spacing w:before="480"/>
        <w:jc w:val="center"/>
      </w:pPr>
      <w:r>
        <w:rPr>
          <w:color w:val="595959"/>
          <w:sz w:val="26"/>
          <w:szCs w:val="26"/>
        </w:rPr>
        <w:t xml:space="preserve">Business Plan</w:t>
      </w:r>
    </w:p>
    <w:p>
      <w:pPr>
        <w:spacing w:before="120"/>
        <w:jc w:val="center"/>
      </w:pPr>
      <w:r>
        <w:rPr>
          <w:color w:val="595959"/>
          <w:sz w:val="22"/>
          <w:szCs w:val="22"/>
        </w:rPr>
        <w:t xml:space="preserve">Prepared by Angela Odhiambo</w:t>
      </w:r>
    </w:p>
    <w:p>
      <w:pPr>
        <w:spacing w:before="60"/>
        <w:jc w:val="center"/>
      </w:pPr>
      <w:r>
        <w:rPr>
          <w:color w:val="595959"/>
          <w:sz w:val="20"/>
          <w:szCs w:val="20"/>
        </w:rPr>
        <w:t xml:space="preserve">Nairobi, Kenya  ·  September 2026</w:t>
      </w:r>
    </w:p>
    <w:p>
      <w:r>
        <w:br w:type="page"/>
      </w:r>
    </w:p>
    <w:p>
      <w:pPr>
        <w:pStyle w:val="Heading1"/>
        <w:spacing w:after="160" w:before="360"/>
      </w:pPr>
      <w:r>
        <w:t xml:space="preserve">Table of Contents</w:t>
      </w:r>
    </w:p>
    <w:p>
      <w:pPr>
        <w:spacing w:after="160"/>
      </w:pPr>
      <w:r>
        <w:t xml:space="preserve">1. Executive Summary</w:t>
      </w:r>
    </w:p>
    <w:p>
      <w:pPr>
        <w:spacing w:after="160"/>
      </w:pPr>
      <w:r>
        <w:t xml:space="preserve">2. The Problem</w:t>
      </w:r>
    </w:p>
    <w:p>
      <w:pPr>
        <w:spacing w:after="160"/>
      </w:pPr>
      <w:r>
        <w:t xml:space="preserve">3. Market Context</w:t>
      </w:r>
    </w:p>
    <w:p>
      <w:pPr>
        <w:spacing w:after="160"/>
      </w:pPr>
      <w:r>
        <w:t xml:space="preserve">4. The Solution</w:t>
      </w:r>
    </w:p>
    <w:p>
      <w:pPr>
        <w:spacing w:after="160"/>
      </w:pPr>
      <w:r>
        <w:t xml:space="preserve">5. Product &amp; MVP Scope</w:t>
      </w:r>
    </w:p>
    <w:p>
      <w:pPr>
        <w:spacing w:after="160"/>
      </w:pPr>
      <w:r>
        <w:t xml:space="preserve">6. Business Model</w:t>
      </w:r>
    </w:p>
    <w:p>
      <w:pPr>
        <w:spacing w:after="160"/>
      </w:pPr>
      <w:r>
        <w:t xml:space="preserve">7. Go-to-Market Strategy</w:t>
      </w:r>
    </w:p>
    <w:p>
      <w:pPr>
        <w:spacing w:after="160"/>
      </w:pPr>
      <w:r>
        <w:t xml:space="preserve">8. Competitive Landscape</w:t>
      </w:r>
    </w:p>
    <w:p>
      <w:pPr>
        <w:spacing w:after="160"/>
      </w:pPr>
      <w:r>
        <w:t xml:space="preserve">9. Validation Plan (Pre-Build Checklist)</w:t>
      </w:r>
    </w:p>
    <w:p>
      <w:pPr>
        <w:spacing w:after="160"/>
      </w:pPr>
      <w:r>
        <w:t xml:space="preserve">10. Financial Projections</w:t>
      </w:r>
    </w:p>
    <w:p>
      <w:pPr>
        <w:spacing w:after="160"/>
      </w:pPr>
      <w:r>
        <w:t xml:space="preserve">11. Risks &amp; Mitigations</w:t>
      </w:r>
    </w:p>
    <w:p>
      <w:pPr>
        <w:spacing w:after="160"/>
      </w:pPr>
      <w:r>
        <w:t xml:space="preserve">12. Regulatory Considerations</w:t>
      </w:r>
    </w:p>
    <w:p>
      <w:pPr>
        <w:spacing w:after="160"/>
      </w:pPr>
      <w:r>
        <w:t xml:space="preserve">13. Roadmap</w:t>
      </w:r>
    </w:p>
    <w:p>
      <w:pPr>
        <w:spacing w:after="160"/>
      </w:pPr>
      <w:r>
        <w:t xml:space="preserve">14. Funding Ask &amp; Use of Funds</w:t>
      </w:r>
    </w:p>
    <w:p>
      <w:pPr>
        <w:spacing w:after="160"/>
      </w:pPr>
      <w:r>
        <w:t xml:space="preserve">15. About</w:t>
      </w:r>
    </w:p>
    <w:p>
      <w:r>
        <w:br w:type="page"/>
      </w:r>
    </w:p>
    <w:p>
      <w:pPr>
        <w:pStyle w:val="Heading1"/>
        <w:spacing w:after="160" w:before="360"/>
      </w:pPr>
      <w:r>
        <w:t xml:space="preserve">1. Executive Summary</w:t>
      </w:r>
    </w:p>
    <w:p>
      <w:pPr>
        <w:spacing w:after="160"/>
      </w:pPr>
      <w:r>
        <w:t xml:space="preserve">Pesly is a lightweight earnings-intelligence tool for Kenya's ride-hailing industry, built around a fact that most outside observers of the sector miss: a large share of Uber, Bolt, and Little Cab vehicles on Nairobi's roads are not driven by their owners. A single owner will often hold 3 to 10 cars, hire drivers to operate them, and hand over the keys — managing the whole operation through WhatsApp check-ins, memory, and trust.</w:t>
      </w:r>
    </w:p>
    <w:p>
      <w:pPr>
        <w:spacing w:after="160"/>
      </w:pPr>
      <w:r>
        <w:t xml:space="preserve">That arrangement creates a real, expensive, and currently unmet business problem: owners cannot see what each car truly earns after fuel and running costs, cannot compare driver performance, and have no reliable way to detect skimmed fares or undisclosed private hires. Pesly solves this with a simple daily trip-logging habit — built for WhatsApp, the platform drivers already live in — that feeds two different views of the same data: a free, simple earnings view for the driver, and a paid, fleet-level dashboard for the owner.</w:t>
      </w:r>
    </w:p>
    <w:p>
      <w:pPr>
        <w:spacing w:after="160"/>
      </w:pPr>
      <w:r>
        <w:t xml:space="preserve">The business model is deliberately narrow at launch: no licensing, no insurance partnerships, no lending, no handling of anyone's money. Pesly's first product is a data and visibility tool, sold to car owners as a monthly subscription per vehicle. Later phases add an optional paid tier for drivers who want a verified, exportable earnings record, and — once a base of verified income histories exists — a B2B data-access line for lenders and asset financiers, entered only with each driver's explicit consent.</w:t>
      </w:r>
    </w:p>
    <w:p>
      <w:pPr>
        <w:spacing w:after="160"/>
      </w:pPr>
      <w:r>
        <w:t xml:space="preserve">At a modest scale of 50 fleet owners with an average of 6 cars each (300 vehicles) and a per-car price of KSh 400–600/month, Pesly reaches KSh 120,000–180,000 in monthly recurring revenue from the owner side alone — before any driver or lender revenue is added. The bigger opportunity is what that base unlocks: a growing, verifiable income history for thousands of informal-sector drivers who are otherwise invisible to Kenya's formal credit system.</w:t>
      </w:r>
    </w:p>
    <w:p>
      <w:pPr>
        <w:pStyle w:val="Heading1"/>
        <w:spacing w:after="160" w:before="360"/>
      </w:pPr>
      <w:r>
        <w:t xml:space="preserve">2. The Problem</w:t>
      </w:r>
    </w:p>
    <w:p>
      <w:pPr>
        <w:pStyle w:val="Heading2"/>
        <w:spacing w:after="120" w:before="240"/>
      </w:pPr>
      <w:r>
        <w:t xml:space="preserve">2.1 Fleet ownership is the norm, not the exception</w:t>
      </w:r>
    </w:p>
    <w:p>
      <w:pPr>
        <w:spacing w:after="160"/>
      </w:pPr>
      <w:r>
        <w:t xml:space="preserve">Ride-hailing in Nairobi is frequently described, from the outside, as an owner-operator business — a driver working his own car. In practice, a large and largely undocumented share of the fleet is owned by individuals or small operators who own several vehicles and lease them to hired drivers for a daily or weekly target. These owners are absent from the vehicle day to day and depend entirely on the driver's own reporting for visibility into how the car is performing.</w:t>
      </w:r>
    </w:p>
    <w:p>
      <w:pPr>
        <w:pStyle w:val="Heading2"/>
        <w:spacing w:after="120" w:before="240"/>
      </w:pPr>
      <w:r>
        <w:t xml:space="preserve">2.2 The pain is real money, not just inconvenience</w:t>
      </w:r>
    </w:p>
    <w:p>
      <w:pPr>
        <w:pStyle w:val="ListParagraph"/>
        <w:numPr>
          <w:ilvl w:val="0"/>
          <w:numId w:val="1"/>
        </w:numPr>
        <w:spacing w:after="80"/>
      </w:pPr>
      <w:r>
        <w:t xml:space="preserve">Fuel skimming: drivers under-reporting distance or trips to pocket the difference between claimed and actual fuel spend.</w:t>
      </w:r>
    </w:p>
    <w:p>
      <w:pPr>
        <w:pStyle w:val="ListParagraph"/>
        <w:numPr>
          <w:ilvl w:val="0"/>
          <w:numId w:val="1"/>
        </w:numPr>
        <w:spacing w:after="80"/>
      </w:pPr>
      <w:r>
        <w:t xml:space="preserve">Unlogged trips: rides taken and paid for in cash or off-app, never declared to the owner.</w:t>
      </w:r>
    </w:p>
    <w:p>
      <w:pPr>
        <w:pStyle w:val="ListParagraph"/>
        <w:numPr>
          <w:ilvl w:val="0"/>
          <w:numId w:val="1"/>
        </w:numPr>
        <w:spacing w:after="80"/>
      </w:pPr>
      <w:r>
        <w:t xml:space="preserve">Private/unauthorized use of the vehicle outside agreed hours.</w:t>
      </w:r>
    </w:p>
    <w:p>
      <w:pPr>
        <w:pStyle w:val="ListParagraph"/>
        <w:numPr>
          <w:ilvl w:val="0"/>
          <w:numId w:val="1"/>
        </w:numPr>
        <w:spacing w:after="80"/>
      </w:pPr>
      <w:r>
        <w:t xml:space="preserve">No comparison across drivers or vehicles when an owner runs more than one car — every car is a black box.</w:t>
      </w:r>
    </w:p>
    <w:p>
      <w:pPr>
        <w:spacing w:after="160"/>
      </w:pPr>
      <w:r>
        <w:t xml:space="preserve">A conservatively small daily leak of KSh 300 per car compounds to roughly KSh 9,000 per month, per vehicle — and most owners in this segment run several cars at once. The tools available to catch this today are informal: phone calls, spot checks, and trust. There is no affordable, purpose-built dashboard for this specific owner.</w:t>
      </w:r>
    </w:p>
    <w:p>
      <w:pPr>
        <w:pStyle w:val="Heading2"/>
        <w:spacing w:after="120" w:before="240"/>
      </w:pPr>
      <w:r>
        <w:t xml:space="preserve">2.3 Drivers have a parallel, related problem</w:t>
      </w:r>
    </w:p>
    <w:p>
      <w:pPr>
        <w:spacing w:after="160"/>
      </w:pPr>
      <w:r>
        <w:t xml:space="preserve">Drivers, meanwhile, often do not have a clear picture of their own true earnings once fuel and running costs are subtracted from gross fares — a problem compounded by working across multiple apps and cash and digital payments simultaneously. They also operate almost entirely outside Kenya's formal financial data trail: even a driver earning KSh 60,000–120,000 gross per month in Nairobi has no standard, portable record of that income to show a bank, SACCO, or asset financier.</w:t>
      </w:r>
    </w:p>
    <w:p>
      <w:pPr>
        <w:pStyle w:val="Heading1"/>
        <w:spacing w:after="160" w:before="360"/>
      </w:pPr>
      <w:r>
        <w:t xml:space="preserve">3. Market Context</w:t>
      </w:r>
    </w:p>
    <w:p>
      <w:pPr>
        <w:spacing w:after="160"/>
      </w:pPr>
      <w:r>
        <w:t xml:space="preserve">Kenya's gig economy is substantial and growing: a 2025 Ipsos-conducted survey commissioned by Bolt estimated the sector supports roughly 1.5 million jobs nationally, with ride-hailing the second-largest gig category by share, behind e-commerce. Ride-hailing platforms operating in the country include Uber, Bolt, Little, Yego, and Faras, licensed by the NTSA, collectively serving riders across Nairobi and other urban centres. Little alone reports more than 200,000 registered drivers in Kenya, and it trails Uber and Bolt in headcount — a signal of just how large the combined driver population across all platforms likely is.</w:t>
      </w:r>
    </w:p>
    <w:p>
      <w:pPr>
        <w:spacing w:after="160"/>
      </w:pPr>
      <w:r>
        <w:t xml:space="preserve">Full-time Nairobi drivers working long hours commonly gross KSh 60,000 or more per month before fuel, maintenance, and other running costs — costs that are frequently the exact figures owners cannot verify and drivers cannot cleanly track. Multi-car ownership is a well-known structural feature of the market, though it is not separately published as a statistic by any platform; Pesly's own field validation (Section 6) is intended to size this specific segment directly, rather than rely on platform-level averages.</w:t>
      </w:r>
    </w:p>
    <w:p>
      <w:pPr>
        <w:spacing w:after="160"/>
      </w:pPr>
      <w:r>
        <w:rPr>
          <w:i/>
          <w:iCs/>
          <w:color w:val="595959"/>
        </w:rPr>
        <w:t xml:space="preserve">This document treats all market-size figures above as context for the size of the addressable population, not as validated demand for Pesly itself. Sections 6 and 9 lay out the validation steps required before committing to the pricing and volume assumptions used in the financial model.</w:t>
      </w:r>
    </w:p>
    <w:p>
      <w:pPr>
        <w:pStyle w:val="Heading1"/>
        <w:spacing w:after="160" w:before="360"/>
      </w:pPr>
      <w:r>
        <w:t xml:space="preserve">4. The Solution</w:t>
      </w:r>
    </w:p>
    <w:p>
      <w:pPr>
        <w:spacing w:after="160"/>
      </w:pPr>
      <w:r>
        <w:t xml:space="preserve">Pesly is a single data pipeline with two interfaces, built around one everyday action: the driver logs each trip in seconds, through WhatsApp, in the app he already uses all day.</w:t>
      </w:r>
    </w:p>
    <w:p>
      <w:pPr>
        <w:pStyle w:val="Heading2"/>
        <w:spacing w:after="120" w:before="240"/>
      </w:pPr>
      <w:r>
        <w:t xml:space="preserve">4.1 Driver interface — free at launch</w:t>
      </w:r>
    </w:p>
    <w:p>
      <w:pPr>
        <w:pStyle w:val="ListParagraph"/>
        <w:numPr>
          <w:ilvl w:val="0"/>
          <w:numId w:val="1"/>
        </w:numPr>
        <w:spacing w:after="80"/>
      </w:pPr>
      <w:r>
        <w:t xml:space="preserve">Trip logging via WhatsApp message — fare, distance, and time captured in one message, no new app to install.</w:t>
      </w:r>
    </w:p>
    <w:p>
      <w:pPr>
        <w:pStyle w:val="ListParagraph"/>
        <w:numPr>
          <w:ilvl w:val="0"/>
          <w:numId w:val="1"/>
        </w:numPr>
        <w:spacing w:after="80"/>
      </w:pPr>
      <w:r>
        <w:t xml:space="preserve">A running true-earnings view: gross fares minus fuel and running costs, in the driver's own currency terms, not just an app-reported gross figure.</w:t>
      </w:r>
    </w:p>
    <w:p>
      <w:pPr>
        <w:pStyle w:val="ListParagraph"/>
        <w:numPr>
          <w:ilvl w:val="0"/>
          <w:numId w:val="1"/>
        </w:numPr>
        <w:spacing w:after="80"/>
      </w:pPr>
      <w:r>
        <w:t xml:space="preserve">A visible logging streak, giving the driver a reason to keep logging consistently — the stronger the streak, the more useful his eventual earnings record.</w:t>
      </w:r>
    </w:p>
    <w:p>
      <w:pPr>
        <w:pStyle w:val="ListParagraph"/>
        <w:numPr>
          <w:ilvl w:val="0"/>
          <w:numId w:val="1"/>
        </w:numPr>
        <w:spacing w:after="80"/>
      </w:pPr>
      <w:r>
        <w:t xml:space="preserve">(Phase 2, optional, paid) A downloadable monthly earnings statement or verified income record, usable when applying for a loan, asset finance, or SACCO membership.</w:t>
      </w:r>
    </w:p>
    <w:p>
      <w:pPr>
        <w:pStyle w:val="Heading2"/>
        <w:spacing w:after="120" w:before="240"/>
      </w:pPr>
      <w:r>
        <w:t xml:space="preserve">4.2 Owner interface — paid, from day one</w:t>
      </w:r>
    </w:p>
    <w:p>
      <w:pPr>
        <w:pStyle w:val="ListParagraph"/>
        <w:numPr>
          <w:ilvl w:val="0"/>
          <w:numId w:val="1"/>
        </w:numPr>
        <w:spacing w:after="80"/>
      </w:pPr>
      <w:r>
        <w:t xml:space="preserve">A live, fleet-level dashboard: what each car truly earned, over any given day, week, or month.</w:t>
      </w:r>
    </w:p>
    <w:p>
      <w:pPr>
        <w:pStyle w:val="ListParagraph"/>
        <w:numPr>
          <w:ilvl w:val="0"/>
          <w:numId w:val="1"/>
        </w:numPr>
        <w:spacing w:after="80"/>
      </w:pPr>
      <w:r>
        <w:t xml:space="preserve">Fuel cost per trip and per car, to catch discrepancies between claimed and actual spend.</w:t>
      </w:r>
    </w:p>
    <w:p>
      <w:pPr>
        <w:pStyle w:val="ListParagraph"/>
        <w:numPr>
          <w:ilvl w:val="0"/>
          <w:numId w:val="1"/>
        </w:numPr>
        <w:spacing w:after="80"/>
      </w:pPr>
      <w:r>
        <w:t xml:space="preserve">Driver-versus-driver comparison across an owner's fleet.</w:t>
      </w:r>
    </w:p>
    <w:p>
      <w:pPr>
        <w:pStyle w:val="ListParagraph"/>
        <w:numPr>
          <w:ilvl w:val="0"/>
          <w:numId w:val="1"/>
        </w:numPr>
        <w:spacing w:after="80"/>
      </w:pPr>
      <w:r>
        <w:t xml:space="preserve">Weekly summary reports and alerts for unusual patterns — a sudden drop in logged trips, a gap in reporting, a cost spike.</w:t>
      </w:r>
    </w:p>
    <w:p>
      <w:pPr>
        <w:pStyle w:val="ListParagraph"/>
        <w:numPr>
          <w:ilvl w:val="0"/>
          <w:numId w:val="1"/>
        </w:numPr>
        <w:spacing w:after="80"/>
      </w:pPr>
      <w:r>
        <w:t xml:space="preserve">Transparent data-completeness indicators (e.g. "4 of 6 drivers logged today") so the dashboard never overstates its own reliability.</w:t>
      </w:r>
    </w:p>
    <w:p>
      <w:pPr>
        <w:pStyle w:val="Heading2"/>
        <w:spacing w:after="120" w:before="240"/>
      </w:pPr>
      <w:r>
        <w:t xml:space="preserve">4.3 Why one data entry serves both sides without conflict</w:t>
      </w:r>
    </w:p>
    <w:p>
      <w:pPr>
        <w:spacing w:after="160"/>
      </w:pPr>
      <w:r>
        <w:t xml:space="preserve">The design deliberately avoids the common trap of two-sided products, where one side's data has to be extracted despite that side's interests. Here, the driver's own reason to log — building a true-earnings picture and, eventually, a portable income record — produces exactly the same underlying data the owner is paying to see. Neither side needs to be persuaded against its own interest.</w:t>
      </w:r>
    </w:p>
    <w:p>
      <w:pPr>
        <w:pStyle w:val="Heading1"/>
        <w:spacing w:after="160" w:before="360"/>
      </w:pPr>
      <w:r>
        <w:t xml:space="preserve">5. Product &amp; MVP Scope</w:t>
      </w:r>
    </w:p>
    <w:p>
      <w:pPr>
        <w:pStyle w:val="Heading2"/>
        <w:spacing w:after="120" w:before="240"/>
      </w:pPr>
      <w:r>
        <w:t xml:space="preserve">5.1 What is deliberately out of scope at launch</w:t>
      </w:r>
    </w:p>
    <w:p>
      <w:pPr>
        <w:pStyle w:val="ListParagraph"/>
        <w:numPr>
          <w:ilvl w:val="0"/>
          <w:numId w:val="1"/>
        </w:numPr>
        <w:spacing w:after="80"/>
      </w:pPr>
      <w:r>
        <w:t xml:space="preserve">No ride-hailing or dispatch functionality — Pesly does not compete with Uber, Bolt, or Little; it sits alongside them.</w:t>
      </w:r>
    </w:p>
    <w:p>
      <w:pPr>
        <w:pStyle w:val="ListParagraph"/>
        <w:numPr>
          <w:ilvl w:val="0"/>
          <w:numId w:val="1"/>
        </w:numPr>
        <w:spacing w:after="80"/>
      </w:pPr>
      <w:r>
        <w:t xml:space="preserve">No handling of driver or owner money — no wallets, no payment processing, no in-app payouts.</w:t>
      </w:r>
    </w:p>
    <w:p>
      <w:pPr>
        <w:pStyle w:val="ListParagraph"/>
        <w:numPr>
          <w:ilvl w:val="0"/>
          <w:numId w:val="1"/>
        </w:numPr>
        <w:spacing w:after="80"/>
      </w:pPr>
      <w:r>
        <w:t xml:space="preserve">No insurance, lending, or credit decisioning — Pesly supplies data; any lending activity is a separate, later, opt-in layer (Section 8.3).</w:t>
      </w:r>
    </w:p>
    <w:p>
      <w:pPr>
        <w:pStyle w:val="ListParagraph"/>
        <w:numPr>
          <w:ilvl w:val="0"/>
          <w:numId w:val="1"/>
        </w:numPr>
        <w:spacing w:after="80"/>
      </w:pPr>
      <w:r>
        <w:t xml:space="preserve">No SACCO or transport-licensing role of any kind.</w:t>
      </w:r>
    </w:p>
    <w:p>
      <w:pPr>
        <w:spacing w:after="160"/>
      </w:pPr>
      <w:r>
        <w:t xml:space="preserve">This scope keeps the MVP outside Kenya's financial-services and transport-licensing regulatory perimeter, and keeps build and running costs low.</w:t>
      </w:r>
    </w:p>
    <w:p>
      <w:pPr>
        <w:pStyle w:val="Heading2"/>
        <w:spacing w:after="120" w:before="240"/>
      </w:pPr>
      <w:r>
        <w:t xml:space="preserve">5.2 MVP components</w:t>
      </w:r>
    </w:p>
    <w:p>
      <w:pPr>
        <w:pStyle w:val="ListParagraph"/>
        <w:numPr>
          <w:ilvl w:val="0"/>
          <w:numId w:val="1"/>
        </w:numPr>
        <w:spacing w:after="80"/>
      </w:pPr>
      <w:r>
        <w:t xml:space="preserve">The existing trip/earnings tracker (already built), extended to support a simple linking code so a driver can attach his logs to an owner's fleet account.</w:t>
      </w:r>
    </w:p>
    <w:p>
      <w:pPr>
        <w:pStyle w:val="ListParagraph"/>
        <w:numPr>
          <w:ilvl w:val="0"/>
          <w:numId w:val="1"/>
        </w:numPr>
        <w:spacing w:after="80"/>
      </w:pPr>
      <w:r>
        <w:t xml:space="preserve">One owner-facing web dashboard: per-car earnings, fuel cost per trip, driver comparison, weekly report, and logging-completeness indicators.</w:t>
      </w:r>
    </w:p>
    <w:p>
      <w:pPr>
        <w:pStyle w:val="ListParagraph"/>
        <w:numPr>
          <w:ilvl w:val="0"/>
          <w:numId w:val="1"/>
        </w:numPr>
        <w:spacing w:after="80"/>
      </w:pPr>
      <w:r>
        <w:t xml:space="preserve">WhatsApp-based logging flow, kept to one message per trip.</w:t>
      </w:r>
    </w:p>
    <w:p>
      <w:pPr>
        <w:spacing w:after="160"/>
      </w:pPr>
      <w:r>
        <w:t xml:space="preserve">Suggested MVP technology direction: React/Vite/Tailwind PWA frontend for the owner dashboard, Node/Express/PostgreSQL backend, WhatsApp Business API (or a lightweight bot layer) for driver-side logging.</w:t>
      </w:r>
    </w:p>
    <w:p>
      <w:pPr>
        <w:pStyle w:val="Heading1"/>
        <w:spacing w:after="160" w:before="360"/>
      </w:pPr>
      <w:r>
        <w:t xml:space="preserve">6. Business Model</w:t>
      </w:r>
    </w:p>
    <w:p>
      <w:pPr>
        <w:pStyle w:val="Heading2"/>
        <w:spacing w:after="120" w:before="240"/>
      </w:pPr>
      <w:r>
        <w:t xml:space="preserve">6.1 Phase 1 — Owner subscription (MVP, months 1–6)</w:t>
      </w:r>
    </w:p>
    <w:p>
      <w:pPr>
        <w:spacing w:after="160"/>
      </w:pPr>
      <w:r>
        <w:t xml:space="preserve">The core and only revenue line at launch. Car owners pay a flat monthly fee per vehicle for dashboard access. Driver logging remains completely free, to protect the compliance the whole model depends on.</w:t>
      </w:r>
    </w:p>
    <w:p>
      <w:pPr>
        <w:spacing w:after="80"/>
      </w:pPr>
      <w:r>
        <w:rPr>
          <w:b/>
          <w:bCs/>
        </w:rPr>
        <w:t xml:space="preserve">Pricing: </w:t>
      </w:r>
      <w:r>
        <w:t xml:space="preserve">KSh 400–600 per car per month (to be validated — see Section 9)</w:t>
      </w:r>
    </w:p>
    <w:p>
      <w:pPr>
        <w:spacing w:after="80"/>
      </w:pPr>
      <w:r>
        <w:rPr>
          <w:b/>
          <w:bCs/>
        </w:rPr>
        <w:t xml:space="preserve">Payer: </w:t>
      </w:r>
      <w:r>
        <w:t xml:space="preserve">The fleet owner, treating the fee as a business expense against a known, quantifiable loss</w:t>
      </w:r>
    </w:p>
    <w:p>
      <w:pPr>
        <w:spacing w:after="80"/>
      </w:pPr>
      <w:r>
        <w:rPr>
          <w:b/>
          <w:bCs/>
        </w:rPr>
        <w:t xml:space="preserve">Why owner-only first: </w:t>
      </w:r>
      <w:r>
        <w:t xml:space="preserve">Owners have both the money and the incentive; adding a payment step for drivers risks the logging compliance the entire dashboard depends on</w:t>
      </w:r>
    </w:p>
    <w:p>
      <w:pPr>
        <w:pStyle w:val="Heading2"/>
        <w:spacing w:after="120" w:before="240"/>
      </w:pPr>
      <w:r>
        <w:t xml:space="preserve">6.2 Phase 2 — Optional driver premium tier (from ~month 6, once logging habits are established)</w:t>
      </w:r>
    </w:p>
    <w:p>
      <w:pPr>
        <w:spacing w:after="160"/>
      </w:pPr>
      <w:r>
        <w:t xml:space="preserve">Introduced only after a base of drivers has built a genuine multi-month logging history, and only as an upsell — never as a gate on basic logging or the free true-earnings view.</w:t>
      </w:r>
    </w:p>
    <w:p>
      <w:pPr>
        <w:pStyle w:val="ListParagraph"/>
        <w:numPr>
          <w:ilvl w:val="0"/>
          <w:numId w:val="1"/>
        </w:numPr>
        <w:spacing w:after="80"/>
      </w:pPr>
      <w:r>
        <w:t xml:space="preserve">Priced at roughly KSh 50–100/month, for drivers who want a downloadable or verified income-record export.</w:t>
      </w:r>
    </w:p>
    <w:p>
      <w:pPr>
        <w:pStyle w:val="ListParagraph"/>
        <w:numPr>
          <w:ilvl w:val="0"/>
          <w:numId w:val="1"/>
        </w:numPr>
        <w:spacing w:after="80"/>
      </w:pPr>
      <w:r>
        <w:t xml:space="preserve">Adoption assumed conservatively at 20–30% of active drivers, since the value only becomes concrete once a driver has an actual use for the record (a loan or finance application).</w:t>
      </w:r>
    </w:p>
    <w:p>
      <w:pPr>
        <w:pStyle w:val="Heading2"/>
        <w:spacing w:after="120" w:before="240"/>
      </w:pPr>
      <w:r>
        <w:t xml:space="preserve">6.3 Phase 3 — Lender and asset-financier data access (12+ months out)</w:t>
      </w:r>
    </w:p>
    <w:p>
      <w:pPr>
        <w:spacing w:after="160"/>
      </w:pPr>
      <w:r>
        <w:t xml:space="preserve">Once a meaningful base of drivers has 6–12 months of verified logging history, lenders, SACCOs, and vehicle-asset financiers are a plausible buyer for access to that data — strictly with each driver's informed, revocable consent, and structured as a data-access fee rather than any credit or lending activity performed by Pesly itself. This phase is not required to make the core business work; it is an expansion path once the underlying data asset exists.</w:t>
      </w:r>
    </w:p>
    <w:p>
      <w:pPr>
        <w:pStyle w:val="Heading1"/>
        <w:spacing w:after="160" w:before="360"/>
      </w:pPr>
      <w:r>
        <w:t xml:space="preserve">7. Go-to-Market Strategy</w:t>
      </w:r>
    </w:p>
    <w:p>
      <w:pPr>
        <w:pStyle w:val="Heading2"/>
        <w:spacing w:after="120" w:before="240"/>
      </w:pPr>
      <w:r>
        <w:t xml:space="preserve">7.1 Validate before building further</w:t>
      </w:r>
    </w:p>
    <w:p>
      <w:pPr>
        <w:pStyle w:val="ListParagraph"/>
        <w:numPr>
          <w:ilvl w:val="0"/>
          <w:numId w:val="1"/>
        </w:numPr>
        <w:spacing w:after="80"/>
      </w:pPr>
      <w:r>
        <w:t xml:space="preserve">5–10 structured conversations with real fleet owners: current tracking method, best estimate of monthly leakage per car, and reaction to the KSh 400–600/car/month price point.</w:t>
      </w:r>
    </w:p>
    <w:p>
      <w:pPr>
        <w:pStyle w:val="ListParagraph"/>
        <w:numPr>
          <w:ilvl w:val="0"/>
          <w:numId w:val="1"/>
        </w:numPr>
        <w:spacing w:after="80"/>
      </w:pPr>
      <w:r>
        <w:t xml:space="preserve">5–10 conversations with drivers who work for fleet owners: willingness to log honestly, and whether a portable income record has genuine value to them today (e.g. can they name a lender who would accept one).</w:t>
      </w:r>
    </w:p>
    <w:p>
      <w:pPr>
        <w:pStyle w:val="Heading2"/>
        <w:spacing w:after="120" w:before="240"/>
      </w:pPr>
      <w:r>
        <w:t xml:space="preserve">7.2 Initial distribution</w:t>
      </w:r>
    </w:p>
    <w:p>
      <w:pPr>
        <w:pStyle w:val="ListParagraph"/>
        <w:numPr>
          <w:ilvl w:val="0"/>
          <w:numId w:val="1"/>
        </w:numPr>
        <w:spacing w:after="80"/>
      </w:pPr>
      <w:r>
        <w:t xml:space="preserve">Direct relationship sales into existing fleet-owner and driver WhatsApp/Facebook groups, which already function as the industry's informal network.</w:t>
      </w:r>
    </w:p>
    <w:p>
      <w:pPr>
        <w:pStyle w:val="ListParagraph"/>
        <w:numPr>
          <w:ilvl w:val="0"/>
          <w:numId w:val="1"/>
        </w:numPr>
        <w:spacing w:after="80"/>
      </w:pPr>
      <w:r>
        <w:t xml:space="preserve">A single free-trial car per prospective owner, to let the dashboard prove itself against one vehicle before asking for a fleet-wide subscription.</w:t>
      </w:r>
    </w:p>
    <w:p>
      <w:pPr>
        <w:pStyle w:val="ListParagraph"/>
        <w:numPr>
          <w:ilvl w:val="0"/>
          <w:numId w:val="1"/>
        </w:numPr>
        <w:spacing w:after="80"/>
      </w:pPr>
      <w:r>
        <w:t xml:space="preserve">Owner referrals: once 3–5 reference owners are live, use them to reach the wider owner network, which tends to be tightly connected.</w:t>
      </w:r>
    </w:p>
    <w:p>
      <w:pPr>
        <w:pStyle w:val="Heading2"/>
        <w:spacing w:after="120" w:before="240"/>
      </w:pPr>
      <w:r>
        <w:t xml:space="preserve">7.3 Retention mechanics</w:t>
      </w:r>
    </w:p>
    <w:p>
      <w:pPr>
        <w:pStyle w:val="ListParagraph"/>
        <w:numPr>
          <w:ilvl w:val="0"/>
          <w:numId w:val="1"/>
        </w:numPr>
        <w:spacing w:after="80"/>
      </w:pPr>
      <w:r>
        <w:t xml:space="preserve">Weekly automated reports keep the dashboard visibly earning its subscription fee, rather than being a login owners forget about.</w:t>
      </w:r>
    </w:p>
    <w:p>
      <w:pPr>
        <w:pStyle w:val="ListParagraph"/>
        <w:numPr>
          <w:ilvl w:val="0"/>
          <w:numId w:val="1"/>
        </w:numPr>
        <w:spacing w:after="80"/>
      </w:pPr>
      <w:r>
        <w:t xml:space="preserve">Transparent logging-completeness indicators build owner trust in the data rather than let gaps go unexplained.</w:t>
      </w:r>
    </w:p>
    <w:p>
      <w:pPr>
        <w:pStyle w:val="Heading1"/>
        <w:spacing w:after="160" w:before="360"/>
      </w:pPr>
      <w:r>
        <w:t xml:space="preserve">8. Competitive Landscape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rPr>
          <w:tblHeader/>
        </w:trPr>
        <w:tc>
          <w:tcPr>
            <w:tcW w:type="dxa" w:w="3200"/>
            <w:shd w:fill="1F3A5F" w:val="clear"/>
            <w:tcMar>
              <w:top w:type="dxa" w:w="80"/>
              <w:left w:type="dxa" w:w="120"/>
              <w:bottom w:type="dxa" w:w="80"/>
              <w:right w:type="dxa" w:w="120"/>
            </w:tcMar>
          </w:tcPr>
          <w:p>
            <w:r>
              <w:rPr>
                <w:b/>
                <w:bCs/>
                <w:color w:val="FFFFFF"/>
              </w:rPr>
              <w:t xml:space="preserve">Alternative</w:t>
            </w:r>
          </w:p>
        </w:tc>
        <w:tc>
          <w:tcPr>
            <w:tcW w:type="dxa" w:w="3400"/>
            <w:shd w:fill="1F3A5F" w:val="clear"/>
            <w:tcMar>
              <w:top w:type="dxa" w:w="80"/>
              <w:left w:type="dxa" w:w="120"/>
              <w:bottom w:type="dxa" w:w="80"/>
              <w:right w:type="dxa" w:w="120"/>
            </w:tcMar>
          </w:tcPr>
          <w:p>
            <w:r>
              <w:rPr>
                <w:b/>
                <w:bCs/>
                <w:color w:val="FFFFFF"/>
              </w:rPr>
              <w:t xml:space="preserve">What it offers</w:t>
            </w:r>
          </w:p>
        </w:tc>
        <w:tc>
          <w:tcPr>
            <w:tcW w:type="dxa" w:w="3400"/>
            <w:shd w:fill="1F3A5F" w:val="clear"/>
            <w:tcMar>
              <w:top w:type="dxa" w:w="80"/>
              <w:left w:type="dxa" w:w="120"/>
              <w:bottom w:type="dxa" w:w="80"/>
              <w:right w:type="dxa" w:w="120"/>
            </w:tcMar>
          </w:tcPr>
          <w:p>
            <w:r>
              <w:rPr>
                <w:b/>
                <w:bCs/>
                <w:color w:val="FFFFFF"/>
              </w:rPr>
              <w:t xml:space="preserve">Why Pesly is different</w:t>
            </w:r>
          </w:p>
        </w:tc>
      </w:tr>
      <w:tr>
        <w:tc>
          <w:tcPr>
            <w:tcW w:type="dxa" w:w="3200"/>
            <w:tcMar>
              <w:top w:type="dxa" w:w="80"/>
              <w:left w:type="dxa" w:w="120"/>
              <w:bottom w:type="dxa" w:w="80"/>
              <w:right w:type="dxa" w:w="120"/>
            </w:tcMar>
          </w:tcPr>
          <w:p>
            <w:r>
              <w:rPr>
                <w:b w:val="false"/>
                <w:bCs w:val="false"/>
                <w:color w:val="000000"/>
              </w:rPr>
              <w:t xml:space="preserve">WhatsApp check-ins (status quo)</w:t>
            </w:r>
          </w:p>
        </w:tc>
        <w:tc>
          <w:tcPr>
            <w:tcW w:type="dxa" w:w="3400"/>
            <w:tcMar>
              <w:top w:type="dxa" w:w="80"/>
              <w:left w:type="dxa" w:w="120"/>
              <w:bottom w:type="dxa" w:w="80"/>
              <w:right w:type="dxa" w:w="120"/>
            </w:tcMar>
          </w:tcPr>
          <w:p>
            <w:r>
              <w:rPr>
                <w:b w:val="false"/>
                <w:bCs w:val="false"/>
                <w:color w:val="000000"/>
              </w:rPr>
              <w:t xml:space="preserve">Free, familiar, zero setup</w:t>
            </w:r>
          </w:p>
        </w:tc>
        <w:tc>
          <w:tcPr>
            <w:tcW w:type="dxa" w:w="3400"/>
            <w:tcMar>
              <w:top w:type="dxa" w:w="80"/>
              <w:left w:type="dxa" w:w="120"/>
              <w:bottom w:type="dxa" w:w="80"/>
              <w:right w:type="dxa" w:w="120"/>
            </w:tcMar>
          </w:tcPr>
          <w:p>
            <w:r>
              <w:rPr>
                <w:b w:val="false"/>
                <w:bCs w:val="false"/>
                <w:color w:val="000000"/>
              </w:rPr>
              <w:t xml:space="preserve">No structured data, no comparison across cars, fully dependent on driver honesty with no visibility</w:t>
            </w:r>
          </w:p>
        </w:tc>
      </w:tr>
      <w:tr>
        <w:tc>
          <w:tcPr>
            <w:tcW w:type="dxa" w:w="3200"/>
            <w:shd w:fill="F2F2F2" w:val="clear"/>
            <w:tcMar>
              <w:top w:type="dxa" w:w="80"/>
              <w:left w:type="dxa" w:w="120"/>
              <w:bottom w:type="dxa" w:w="80"/>
              <w:right w:type="dxa" w:w="120"/>
            </w:tcMar>
          </w:tcPr>
          <w:p>
            <w:r>
              <w:rPr>
                <w:b w:val="false"/>
                <w:bCs w:val="false"/>
                <w:color w:val="000000"/>
              </w:rPr>
              <w:t xml:space="preserve">Platform driver apps (Uber/Bolt/Little)</w:t>
            </w:r>
          </w:p>
        </w:tc>
        <w:tc>
          <w:tcPr>
            <w:tcW w:type="dxa" w:w="3400"/>
            <w:shd w:fill="F2F2F2" w:val="clear"/>
            <w:tcMar>
              <w:top w:type="dxa" w:w="80"/>
              <w:left w:type="dxa" w:w="120"/>
              <w:bottom w:type="dxa" w:w="80"/>
              <w:right w:type="dxa" w:w="120"/>
            </w:tcMar>
          </w:tcPr>
          <w:p>
            <w:r>
              <w:rPr>
                <w:b w:val="false"/>
                <w:bCs w:val="false"/>
                <w:color w:val="000000"/>
              </w:rPr>
              <w:t xml:space="preserve">Trip and payment records, per platform</w:t>
            </w:r>
          </w:p>
        </w:tc>
        <w:tc>
          <w:tcPr>
            <w:tcW w:type="dxa" w:w="3400"/>
            <w:shd w:fill="F2F2F2" w:val="clear"/>
            <w:tcMar>
              <w:top w:type="dxa" w:w="80"/>
              <w:left w:type="dxa" w:w="120"/>
              <w:bottom w:type="dxa" w:w="80"/>
              <w:right w:type="dxa" w:w="120"/>
            </w:tcMar>
          </w:tcPr>
          <w:p>
            <w:r>
              <w:rPr>
                <w:b w:val="false"/>
                <w:bCs w:val="false"/>
                <w:color w:val="000000"/>
              </w:rPr>
              <w:t xml:space="preserve">Owner has no consolidated, cross-platform, cross-driver view; data is not fleet-oriented</w:t>
            </w:r>
          </w:p>
        </w:tc>
      </w:tr>
      <w:tr>
        <w:tc>
          <w:tcPr>
            <w:tcW w:type="dxa" w:w="3200"/>
            <w:tcMar>
              <w:top w:type="dxa" w:w="80"/>
              <w:left w:type="dxa" w:w="120"/>
              <w:bottom w:type="dxa" w:w="80"/>
              <w:right w:type="dxa" w:w="120"/>
            </w:tcMar>
          </w:tcPr>
          <w:p>
            <w:r>
              <w:rPr>
                <w:b w:val="false"/>
                <w:bCs w:val="false"/>
                <w:color w:val="000000"/>
              </w:rPr>
              <w:t xml:space="preserve">General fleet-management software</w:t>
            </w:r>
          </w:p>
        </w:tc>
        <w:tc>
          <w:tcPr>
            <w:tcW w:type="dxa" w:w="3400"/>
            <w:tcMar>
              <w:top w:type="dxa" w:w="80"/>
              <w:left w:type="dxa" w:w="120"/>
              <w:bottom w:type="dxa" w:w="80"/>
              <w:right w:type="dxa" w:w="120"/>
            </w:tcMar>
          </w:tcPr>
          <w:p>
            <w:r>
              <w:rPr>
                <w:b w:val="false"/>
                <w:bCs w:val="false"/>
                <w:color w:val="000000"/>
              </w:rPr>
              <w:t xml:space="preserve">Vehicle tracking, maintenance logs</w:t>
            </w:r>
          </w:p>
        </w:tc>
        <w:tc>
          <w:tcPr>
            <w:tcW w:type="dxa" w:w="3400"/>
            <w:tcMar>
              <w:top w:type="dxa" w:w="80"/>
              <w:left w:type="dxa" w:w="120"/>
              <w:bottom w:type="dxa" w:w="80"/>
              <w:right w:type="dxa" w:w="120"/>
            </w:tcMar>
          </w:tcPr>
          <w:p>
            <w:r>
              <w:rPr>
                <w:b w:val="false"/>
                <w:bCs w:val="false"/>
                <w:color w:val="000000"/>
              </w:rPr>
              <w:t xml:space="preserve">Built for large corporate fleets, not the 3–10 car informal owner; priced and packaged for a different buyer</w:t>
            </w:r>
          </w:p>
        </w:tc>
      </w:tr>
      <w:tr>
        <w:tc>
          <w:tcPr>
            <w:tcW w:type="dxa" w:w="3200"/>
            <w:shd w:fill="F2F2F2" w:val="clear"/>
            <w:tcMar>
              <w:top w:type="dxa" w:w="80"/>
              <w:left w:type="dxa" w:w="120"/>
              <w:bottom w:type="dxa" w:w="80"/>
              <w:right w:type="dxa" w:w="120"/>
            </w:tcMar>
          </w:tcPr>
          <w:p>
            <w:r>
              <w:rPr>
                <w:b w:val="false"/>
                <w:bCs w:val="false"/>
                <w:color w:val="000000"/>
              </w:rPr>
              <w:t xml:space="preserve">Manual spreadsheets</w:t>
            </w:r>
          </w:p>
        </w:tc>
        <w:tc>
          <w:tcPr>
            <w:tcW w:type="dxa" w:w="3400"/>
            <w:shd w:fill="F2F2F2" w:val="clear"/>
            <w:tcMar>
              <w:top w:type="dxa" w:w="80"/>
              <w:left w:type="dxa" w:w="120"/>
              <w:bottom w:type="dxa" w:w="80"/>
              <w:right w:type="dxa" w:w="120"/>
            </w:tcMar>
          </w:tcPr>
          <w:p>
            <w:r>
              <w:rPr>
                <w:b w:val="false"/>
                <w:bCs w:val="false"/>
                <w:color w:val="000000"/>
              </w:rPr>
              <w:t xml:space="preserve">Free, fully custom</w:t>
            </w:r>
          </w:p>
        </w:tc>
        <w:tc>
          <w:tcPr>
            <w:tcW w:type="dxa" w:w="3400"/>
            <w:shd w:fill="F2F2F2" w:val="clear"/>
            <w:tcMar>
              <w:top w:type="dxa" w:w="80"/>
              <w:left w:type="dxa" w:w="120"/>
              <w:bottom w:type="dxa" w:w="80"/>
              <w:right w:type="dxa" w:w="120"/>
            </w:tcMar>
          </w:tcPr>
          <w:p>
            <w:r>
              <w:rPr>
                <w:b w:val="false"/>
                <w:bCs w:val="false"/>
                <w:color w:val="000000"/>
              </w:rPr>
              <w:t xml:space="preserve">Entirely dependent on manual entry by the owner; no driver-side incentive to keep it current</w:t>
            </w:r>
          </w:p>
        </w:tc>
      </w:tr>
    </w:tbl>
    <w:p>
      <w:pPr>
        <w:spacing w:after="160"/>
      </w:pPr>
    </w:p>
    <w:p>
      <w:pPr>
        <w:spacing w:after="160"/>
      </w:pPr>
      <w:r>
        <w:t xml:space="preserve">Pesly's position is narrow and specific: the only tool purpose-built for the informal multi-car owner and the drivers they employ, using a logging incentive structure that keeps the data current without requiring the owner to do the data entry themselves.</w:t>
      </w:r>
    </w:p>
    <w:p>
      <w:pPr>
        <w:pStyle w:val="Heading1"/>
        <w:spacing w:after="160" w:before="360"/>
      </w:pPr>
      <w:r>
        <w:t xml:space="preserve">9. Validation Plan (Pre-Build Checklist)</w:t>
      </w:r>
    </w:p>
    <w:p>
      <w:pPr>
        <w:spacing w:after="160"/>
      </w:pPr>
      <w:r>
        <w:t xml:space="preserve">Before committing further engineering time, the following should be tested directly with real owners and drivers:</w:t>
      </w:r>
    </w:p>
    <w:p>
      <w:pPr>
        <w:pStyle w:val="ListParagraph"/>
        <w:numPr>
          <w:ilvl w:val="0"/>
          <w:numId w:val="1"/>
        </w:numPr>
        <w:spacing w:after="80"/>
      </w:pPr>
      <w:r>
        <w:t xml:space="preserve">Confirm owners' willingness to pay KSh 400–600/car/month, and identify who actually makes that spending decision (owner vs. a fleet manager).</w:t>
      </w:r>
    </w:p>
    <w:p>
      <w:pPr>
        <w:pStyle w:val="ListParagraph"/>
        <w:numPr>
          <w:ilvl w:val="0"/>
          <w:numId w:val="1"/>
        </w:numPr>
        <w:spacing w:after="80"/>
      </w:pPr>
      <w:r>
        <w:t xml:space="preserve">Confirm drivers will log trips consistently and honestly when they know an owner-facing dashboard is built on the same data.</w:t>
      </w:r>
    </w:p>
    <w:p>
      <w:pPr>
        <w:pStyle w:val="ListParagraph"/>
        <w:numPr>
          <w:ilvl w:val="0"/>
          <w:numId w:val="1"/>
        </w:numPr>
        <w:spacing w:after="80"/>
      </w:pPr>
      <w:r>
        <w:t xml:space="preserve">Identify a realistic first pilot owner (ideally 1, with 3+ cars) willing to run a free trial for 4–6 weeks.</w:t>
      </w:r>
    </w:p>
    <w:p>
      <w:pPr>
        <w:pStyle w:val="ListParagraph"/>
        <w:numPr>
          <w:ilvl w:val="0"/>
          <w:numId w:val="1"/>
        </w:numPr>
        <w:spacing w:after="80"/>
      </w:pPr>
      <w:r>
        <w:t xml:space="preserve">Check with at least one or two Kenyan SACCOs or digital lenders whether an informal, self-reported income record of this kind would carry any weight in a lending decision — this determines whether the Phase 2/3 revenue lines are realistic at all.</w:t>
      </w:r>
    </w:p>
    <w:p>
      <w:pPr>
        <w:pStyle w:val="Heading1"/>
        <w:spacing w:after="160" w:before="360"/>
      </w:pPr>
      <w:r>
        <w:t xml:space="preserve">10. Financial Projections</w:t>
      </w:r>
    </w:p>
    <w:p>
      <w:pPr>
        <w:spacing w:after="160"/>
      </w:pPr>
      <w:r>
        <w:t xml:space="preserve">Indicative revenue ramp, Phase 1 (owner-only) growing into Phase 2 (driver premium tier added). Figures are planning estimates, not forecasts, and should be revised once Section 9 validation is complete.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1300"/>
        <w:gridCol w:w="1700"/>
        <w:gridCol w:w="1700"/>
        <w:gridCol w:w="1600"/>
      </w:tblGrid>
      <w:tr>
        <w:trPr>
          <w:tblHeader/>
        </w:trPr>
        <w:tc>
          <w:tcPr>
            <w:tcW w:type="dxa" w:w="2600"/>
            <w:shd w:fill="1F3A5F" w:val="clear"/>
            <w:tcMar>
              <w:top w:type="dxa" w:w="80"/>
              <w:left w:type="dxa" w:w="120"/>
              <w:bottom w:type="dxa" w:w="80"/>
              <w:right w:type="dxa" w:w="120"/>
            </w:tcMar>
          </w:tcPr>
          <w:p>
            <w:r>
              <w:rPr>
                <w:b/>
                <w:bCs/>
                <w:color w:val="FFFFFF"/>
              </w:rPr>
              <w:t xml:space="preserve">Period</w:t>
            </w:r>
          </w:p>
        </w:tc>
        <w:tc>
          <w:tcPr>
            <w:tcW w:type="dxa" w:w="1100"/>
            <w:shd w:fill="1F3A5F" w:val="clear"/>
            <w:tcMar>
              <w:top w:type="dxa" w:w="80"/>
              <w:left w:type="dxa" w:w="120"/>
              <w:bottom w:type="dxa" w:w="80"/>
              <w:right w:type="dxa" w:w="120"/>
            </w:tcMar>
          </w:tcPr>
          <w:p>
            <w:r>
              <w:rPr>
                <w:b/>
                <w:bCs/>
                <w:color w:val="FFFFFF"/>
              </w:rPr>
              <w:t xml:space="preserve">Owners</w:t>
            </w:r>
          </w:p>
        </w:tc>
        <w:tc>
          <w:tcPr>
            <w:tcW w:type="dxa" w:w="1000"/>
            <w:shd w:fill="1F3A5F" w:val="clear"/>
            <w:tcMar>
              <w:top w:type="dxa" w:w="80"/>
              <w:left w:type="dxa" w:w="120"/>
              <w:bottom w:type="dxa" w:w="80"/>
              <w:right w:type="dxa" w:w="120"/>
            </w:tcMar>
          </w:tcPr>
          <w:p>
            <w:r>
              <w:rPr>
                <w:b/>
                <w:bCs/>
                <w:color w:val="FFFFFF"/>
              </w:rPr>
              <w:t xml:space="preserve">Cars</w:t>
            </w:r>
          </w:p>
        </w:tc>
        <w:tc>
          <w:tcPr>
            <w:tcW w:type="dxa" w:w="1300"/>
            <w:shd w:fill="1F3A5F" w:val="clear"/>
            <w:tcMar>
              <w:top w:type="dxa" w:w="80"/>
              <w:left w:type="dxa" w:w="120"/>
              <w:bottom w:type="dxa" w:w="80"/>
              <w:right w:type="dxa" w:w="120"/>
            </w:tcMar>
          </w:tcPr>
          <w:p>
            <w:r>
              <w:rPr>
                <w:b/>
                <w:bCs/>
                <w:color w:val="FFFFFF"/>
              </w:rPr>
              <w:t xml:space="preserve">Price/car/mo</w:t>
            </w:r>
          </w:p>
        </w:tc>
        <w:tc>
          <w:tcPr>
            <w:tcW w:type="dxa" w:w="1700"/>
            <w:shd w:fill="1F3A5F" w:val="clear"/>
            <w:tcMar>
              <w:top w:type="dxa" w:w="80"/>
              <w:left w:type="dxa" w:w="120"/>
              <w:bottom w:type="dxa" w:w="80"/>
              <w:right w:type="dxa" w:w="120"/>
            </w:tcMar>
          </w:tcPr>
          <w:p>
            <w:r>
              <w:rPr>
                <w:b/>
                <w:bCs/>
                <w:color w:val="FFFFFF"/>
              </w:rPr>
              <w:t xml:space="preserve">Owner MRR</w:t>
            </w:r>
          </w:p>
        </w:tc>
        <w:tc>
          <w:tcPr>
            <w:tcW w:type="dxa" w:w="1700"/>
            <w:shd w:fill="1F3A5F" w:val="clear"/>
            <w:tcMar>
              <w:top w:type="dxa" w:w="80"/>
              <w:left w:type="dxa" w:w="120"/>
              <w:bottom w:type="dxa" w:w="80"/>
              <w:right w:type="dxa" w:w="120"/>
            </w:tcMar>
          </w:tcPr>
          <w:p>
            <w:r>
              <w:rPr>
                <w:b/>
                <w:bCs/>
                <w:color w:val="FFFFFF"/>
              </w:rPr>
              <w:t xml:space="preserve">Driver premium MRR</w:t>
            </w:r>
          </w:p>
        </w:tc>
        <w:tc>
          <w:tcPr>
            <w:tcW w:type="dxa" w:w="1600"/>
            <w:shd w:fill="1F3A5F" w:val="clear"/>
            <w:tcMar>
              <w:top w:type="dxa" w:w="80"/>
              <w:left w:type="dxa" w:w="120"/>
              <w:bottom w:type="dxa" w:w="80"/>
              <w:right w:type="dxa" w:w="120"/>
            </w:tcMar>
          </w:tcPr>
          <w:p>
            <w:r>
              <w:rPr>
                <w:b/>
                <w:bCs/>
                <w:color w:val="FFFFFF"/>
              </w:rPr>
              <w:t xml:space="preserve">Total MRR</w:t>
            </w:r>
          </w:p>
        </w:tc>
      </w:tr>
      <w:tr>
        <w:tc>
          <w:tcPr>
            <w:tcW w:type="dxa" w:w="2600"/>
            <w:tcMar>
              <w:top w:type="dxa" w:w="80"/>
              <w:left w:type="dxa" w:w="120"/>
              <w:bottom w:type="dxa" w:w="80"/>
              <w:right w:type="dxa" w:w="120"/>
            </w:tcMar>
          </w:tcPr>
          <w:p>
            <w:r>
              <w:rPr>
                <w:b w:val="false"/>
                <w:bCs w:val="false"/>
                <w:color w:val="000000"/>
              </w:rPr>
              <w:t xml:space="preserve">Months 1–3 (pilot)</w:t>
            </w:r>
          </w:p>
        </w:tc>
        <w:tc>
          <w:tcPr>
            <w:tcW w:type="dxa" w:w="1100"/>
            <w:tcMar>
              <w:top w:type="dxa" w:w="80"/>
              <w:left w:type="dxa" w:w="120"/>
              <w:bottom w:type="dxa" w:w="80"/>
              <w:right w:type="dxa" w:w="120"/>
            </w:tcMar>
          </w:tcPr>
          <w:p>
            <w:r>
              <w:rPr>
                <w:b w:val="false"/>
                <w:bCs w:val="false"/>
                <w:color w:val="000000"/>
              </w:rPr>
              <w:t xml:space="preserve">5–10</w:t>
            </w:r>
          </w:p>
        </w:tc>
        <w:tc>
          <w:tcPr>
            <w:tcW w:type="dxa" w:w="1000"/>
            <w:tcMar>
              <w:top w:type="dxa" w:w="80"/>
              <w:left w:type="dxa" w:w="120"/>
              <w:bottom w:type="dxa" w:w="80"/>
              <w:right w:type="dxa" w:w="120"/>
            </w:tcMar>
          </w:tcPr>
          <w:p>
            <w:r>
              <w:rPr>
                <w:b w:val="false"/>
                <w:bCs w:val="false"/>
                <w:color w:val="000000"/>
              </w:rPr>
              <w:t xml:space="preserve">30–50</w:t>
            </w:r>
          </w:p>
        </w:tc>
        <w:tc>
          <w:tcPr>
            <w:tcW w:type="dxa" w:w="1300"/>
            <w:tcMar>
              <w:top w:type="dxa" w:w="80"/>
              <w:left w:type="dxa" w:w="120"/>
              <w:bottom w:type="dxa" w:w="80"/>
              <w:right w:type="dxa" w:w="120"/>
            </w:tcMar>
          </w:tcPr>
          <w:p>
            <w:r>
              <w:rPr>
                <w:b w:val="false"/>
                <w:bCs w:val="false"/>
                <w:color w:val="000000"/>
              </w:rPr>
              <w:t xml:space="preserve">KSh 400</w:t>
            </w:r>
          </w:p>
        </w:tc>
        <w:tc>
          <w:tcPr>
            <w:tcW w:type="dxa" w:w="1700"/>
            <w:tcMar>
              <w:top w:type="dxa" w:w="80"/>
              <w:left w:type="dxa" w:w="120"/>
              <w:bottom w:type="dxa" w:w="80"/>
              <w:right w:type="dxa" w:w="120"/>
            </w:tcMar>
          </w:tcPr>
          <w:p>
            <w:r>
              <w:rPr>
                <w:b w:val="false"/>
                <w:bCs w:val="false"/>
                <w:color w:val="000000"/>
              </w:rPr>
              <w:t xml:space="preserve">KSh 12,000–20,000</w:t>
            </w:r>
          </w:p>
        </w:tc>
        <w:tc>
          <w:tcPr>
            <w:tcW w:type="dxa" w:w="1700"/>
            <w:tcMar>
              <w:top w:type="dxa" w:w="80"/>
              <w:left w:type="dxa" w:w="120"/>
              <w:bottom w:type="dxa" w:w="80"/>
              <w:right w:type="dxa" w:w="120"/>
            </w:tcMar>
          </w:tcPr>
          <w:p>
            <w:r>
              <w:rPr>
                <w:b w:val="false"/>
                <w:bCs w:val="false"/>
                <w:color w:val="000000"/>
              </w:rPr>
              <w:t xml:space="preserve">—</w:t>
            </w:r>
          </w:p>
        </w:tc>
        <w:tc>
          <w:tcPr>
            <w:tcW w:type="dxa" w:w="1600"/>
            <w:tcMar>
              <w:top w:type="dxa" w:w="80"/>
              <w:left w:type="dxa" w:w="120"/>
              <w:bottom w:type="dxa" w:w="80"/>
              <w:right w:type="dxa" w:w="120"/>
            </w:tcMar>
          </w:tcPr>
          <w:p>
            <w:r>
              <w:rPr>
                <w:b w:val="false"/>
                <w:bCs w:val="false"/>
                <w:color w:val="000000"/>
              </w:rPr>
              <w:t xml:space="preserve">KSh 12,000–20,000</w:t>
            </w:r>
          </w:p>
        </w:tc>
      </w:tr>
      <w:tr>
        <w:tc>
          <w:tcPr>
            <w:tcW w:type="dxa" w:w="2600"/>
            <w:shd w:fill="F2F2F2" w:val="clear"/>
            <w:tcMar>
              <w:top w:type="dxa" w:w="80"/>
              <w:left w:type="dxa" w:w="120"/>
              <w:bottom w:type="dxa" w:w="80"/>
              <w:right w:type="dxa" w:w="120"/>
            </w:tcMar>
          </w:tcPr>
          <w:p>
            <w:r>
              <w:rPr>
                <w:b w:val="false"/>
                <w:bCs w:val="false"/>
                <w:color w:val="000000"/>
              </w:rPr>
              <w:t xml:space="preserve">Months 4–6 (early traction)</w:t>
            </w:r>
          </w:p>
        </w:tc>
        <w:tc>
          <w:tcPr>
            <w:tcW w:type="dxa" w:w="1100"/>
            <w:shd w:fill="F2F2F2" w:val="clear"/>
            <w:tcMar>
              <w:top w:type="dxa" w:w="80"/>
              <w:left w:type="dxa" w:w="120"/>
              <w:bottom w:type="dxa" w:w="80"/>
              <w:right w:type="dxa" w:w="120"/>
            </w:tcMar>
          </w:tcPr>
          <w:p>
            <w:r>
              <w:rPr>
                <w:b w:val="false"/>
                <w:bCs w:val="false"/>
                <w:color w:val="000000"/>
              </w:rPr>
              <w:t xml:space="preserve">20</w:t>
            </w:r>
          </w:p>
        </w:tc>
        <w:tc>
          <w:tcPr>
            <w:tcW w:type="dxa" w:w="1000"/>
            <w:shd w:fill="F2F2F2" w:val="clear"/>
            <w:tcMar>
              <w:top w:type="dxa" w:w="80"/>
              <w:left w:type="dxa" w:w="120"/>
              <w:bottom w:type="dxa" w:w="80"/>
              <w:right w:type="dxa" w:w="120"/>
            </w:tcMar>
          </w:tcPr>
          <w:p>
            <w:r>
              <w:rPr>
                <w:b w:val="false"/>
                <w:bCs w:val="false"/>
                <w:color w:val="000000"/>
              </w:rPr>
              <w:t xml:space="preserve">120</w:t>
            </w:r>
          </w:p>
        </w:tc>
        <w:tc>
          <w:tcPr>
            <w:tcW w:type="dxa" w:w="1300"/>
            <w:shd w:fill="F2F2F2" w:val="clear"/>
            <w:tcMar>
              <w:top w:type="dxa" w:w="80"/>
              <w:left w:type="dxa" w:w="120"/>
              <w:bottom w:type="dxa" w:w="80"/>
              <w:right w:type="dxa" w:w="120"/>
            </w:tcMar>
          </w:tcPr>
          <w:p>
            <w:r>
              <w:rPr>
                <w:b w:val="false"/>
                <w:bCs w:val="false"/>
                <w:color w:val="000000"/>
              </w:rPr>
              <w:t xml:space="preserve">KSh 400</w:t>
            </w:r>
          </w:p>
        </w:tc>
        <w:tc>
          <w:tcPr>
            <w:tcW w:type="dxa" w:w="1700"/>
            <w:shd w:fill="F2F2F2" w:val="clear"/>
            <w:tcMar>
              <w:top w:type="dxa" w:w="80"/>
              <w:left w:type="dxa" w:w="120"/>
              <w:bottom w:type="dxa" w:w="80"/>
              <w:right w:type="dxa" w:w="120"/>
            </w:tcMar>
          </w:tcPr>
          <w:p>
            <w:r>
              <w:rPr>
                <w:b w:val="false"/>
                <w:bCs w:val="false"/>
                <w:color w:val="000000"/>
              </w:rPr>
              <w:t xml:space="preserve">KSh 48,000</w:t>
            </w:r>
          </w:p>
        </w:tc>
        <w:tc>
          <w:tcPr>
            <w:tcW w:type="dxa" w:w="1700"/>
            <w:shd w:fill="F2F2F2" w:val="clear"/>
            <w:tcMar>
              <w:top w:type="dxa" w:w="80"/>
              <w:left w:type="dxa" w:w="120"/>
              <w:bottom w:type="dxa" w:w="80"/>
              <w:right w:type="dxa" w:w="120"/>
            </w:tcMar>
          </w:tcPr>
          <w:p>
            <w:r>
              <w:rPr>
                <w:b w:val="false"/>
                <w:bCs w:val="false"/>
                <w:color w:val="000000"/>
              </w:rPr>
              <w:t xml:space="preserve">—</w:t>
            </w:r>
          </w:p>
        </w:tc>
        <w:tc>
          <w:tcPr>
            <w:tcW w:type="dxa" w:w="1600"/>
            <w:shd w:fill="F2F2F2" w:val="clear"/>
            <w:tcMar>
              <w:top w:type="dxa" w:w="80"/>
              <w:left w:type="dxa" w:w="120"/>
              <w:bottom w:type="dxa" w:w="80"/>
              <w:right w:type="dxa" w:w="120"/>
            </w:tcMar>
          </w:tcPr>
          <w:p>
            <w:r>
              <w:rPr>
                <w:b w:val="false"/>
                <w:bCs w:val="false"/>
                <w:color w:val="000000"/>
              </w:rPr>
              <w:t xml:space="preserve">KSh 48,000</w:t>
            </w:r>
          </w:p>
        </w:tc>
      </w:tr>
      <w:tr>
        <w:tc>
          <w:tcPr>
            <w:tcW w:type="dxa" w:w="2600"/>
            <w:tcMar>
              <w:top w:type="dxa" w:w="80"/>
              <w:left w:type="dxa" w:w="120"/>
              <w:bottom w:type="dxa" w:w="80"/>
              <w:right w:type="dxa" w:w="120"/>
            </w:tcMar>
          </w:tcPr>
          <w:p>
            <w:r>
              <w:rPr>
                <w:b w:val="false"/>
                <w:bCs w:val="false"/>
                <w:color w:val="000000"/>
              </w:rPr>
              <w:t xml:space="preserve">Months 7–12 (scale)</w:t>
            </w:r>
          </w:p>
        </w:tc>
        <w:tc>
          <w:tcPr>
            <w:tcW w:type="dxa" w:w="1100"/>
            <w:tcMar>
              <w:top w:type="dxa" w:w="80"/>
              <w:left w:type="dxa" w:w="120"/>
              <w:bottom w:type="dxa" w:w="80"/>
              <w:right w:type="dxa" w:w="120"/>
            </w:tcMar>
          </w:tcPr>
          <w:p>
            <w:r>
              <w:rPr>
                <w:b w:val="false"/>
                <w:bCs w:val="false"/>
                <w:color w:val="000000"/>
              </w:rPr>
              <w:t xml:space="preserve">50</w:t>
            </w:r>
          </w:p>
        </w:tc>
        <w:tc>
          <w:tcPr>
            <w:tcW w:type="dxa" w:w="1000"/>
            <w:tcMar>
              <w:top w:type="dxa" w:w="80"/>
              <w:left w:type="dxa" w:w="120"/>
              <w:bottom w:type="dxa" w:w="80"/>
              <w:right w:type="dxa" w:w="120"/>
            </w:tcMar>
          </w:tcPr>
          <w:p>
            <w:r>
              <w:rPr>
                <w:b w:val="false"/>
                <w:bCs w:val="false"/>
                <w:color w:val="000000"/>
              </w:rPr>
              <w:t xml:space="preserve">300</w:t>
            </w:r>
          </w:p>
        </w:tc>
        <w:tc>
          <w:tcPr>
            <w:tcW w:type="dxa" w:w="1300"/>
            <w:tcMar>
              <w:top w:type="dxa" w:w="80"/>
              <w:left w:type="dxa" w:w="120"/>
              <w:bottom w:type="dxa" w:w="80"/>
              <w:right w:type="dxa" w:w="120"/>
            </w:tcMar>
          </w:tcPr>
          <w:p>
            <w:r>
              <w:rPr>
                <w:b w:val="false"/>
                <w:bCs w:val="false"/>
                <w:color w:val="000000"/>
              </w:rPr>
              <w:t xml:space="preserve">KSh 500</w:t>
            </w:r>
          </w:p>
        </w:tc>
        <w:tc>
          <w:tcPr>
            <w:tcW w:type="dxa" w:w="1700"/>
            <w:tcMar>
              <w:top w:type="dxa" w:w="80"/>
              <w:left w:type="dxa" w:w="120"/>
              <w:bottom w:type="dxa" w:w="80"/>
              <w:right w:type="dxa" w:w="120"/>
            </w:tcMar>
          </w:tcPr>
          <w:p>
            <w:r>
              <w:rPr>
                <w:b w:val="false"/>
                <w:bCs w:val="false"/>
                <w:color w:val="000000"/>
              </w:rPr>
              <w:t xml:space="preserve">KSh 150,000</w:t>
            </w:r>
          </w:p>
        </w:tc>
        <w:tc>
          <w:tcPr>
            <w:tcW w:type="dxa" w:w="1700"/>
            <w:tcMar>
              <w:top w:type="dxa" w:w="80"/>
              <w:left w:type="dxa" w:w="120"/>
              <w:bottom w:type="dxa" w:w="80"/>
              <w:right w:type="dxa" w:w="120"/>
            </w:tcMar>
          </w:tcPr>
          <w:p>
            <w:r>
              <w:rPr>
                <w:b w:val="false"/>
                <w:bCs w:val="false"/>
                <w:color w:val="000000"/>
              </w:rPr>
              <w:t xml:space="preserve">—</w:t>
            </w:r>
          </w:p>
        </w:tc>
        <w:tc>
          <w:tcPr>
            <w:tcW w:type="dxa" w:w="1600"/>
            <w:tcMar>
              <w:top w:type="dxa" w:w="80"/>
              <w:left w:type="dxa" w:w="120"/>
              <w:bottom w:type="dxa" w:w="80"/>
              <w:right w:type="dxa" w:w="120"/>
            </w:tcMar>
          </w:tcPr>
          <w:p>
            <w:r>
              <w:rPr>
                <w:b w:val="false"/>
                <w:bCs w:val="false"/>
                <w:color w:val="000000"/>
              </w:rPr>
              <w:t xml:space="preserve">KSh 150,000</w:t>
            </w:r>
          </w:p>
        </w:tc>
      </w:tr>
      <w:tr>
        <w:tc>
          <w:tcPr>
            <w:tcW w:type="dxa" w:w="2600"/>
            <w:shd w:fill="F2F2F2" w:val="clear"/>
            <w:tcMar>
              <w:top w:type="dxa" w:w="80"/>
              <w:left w:type="dxa" w:w="120"/>
              <w:bottom w:type="dxa" w:w="80"/>
              <w:right w:type="dxa" w:w="120"/>
            </w:tcMar>
          </w:tcPr>
          <w:p>
            <w:r>
              <w:rPr>
                <w:b w:val="false"/>
                <w:bCs w:val="false"/>
                <w:color w:val="000000"/>
              </w:rPr>
              <w:t xml:space="preserve">Months 13–18 (Phase 2 added)</w:t>
            </w:r>
          </w:p>
        </w:tc>
        <w:tc>
          <w:tcPr>
            <w:tcW w:type="dxa" w:w="1100"/>
            <w:shd w:fill="F2F2F2" w:val="clear"/>
            <w:tcMar>
              <w:top w:type="dxa" w:w="80"/>
              <w:left w:type="dxa" w:w="120"/>
              <w:bottom w:type="dxa" w:w="80"/>
              <w:right w:type="dxa" w:w="120"/>
            </w:tcMar>
          </w:tcPr>
          <w:p>
            <w:r>
              <w:rPr>
                <w:b w:val="false"/>
                <w:bCs w:val="false"/>
                <w:color w:val="000000"/>
              </w:rPr>
              <w:t xml:space="preserve">50+</w:t>
            </w:r>
          </w:p>
        </w:tc>
        <w:tc>
          <w:tcPr>
            <w:tcW w:type="dxa" w:w="1000"/>
            <w:shd w:fill="F2F2F2" w:val="clear"/>
            <w:tcMar>
              <w:top w:type="dxa" w:w="80"/>
              <w:left w:type="dxa" w:w="120"/>
              <w:bottom w:type="dxa" w:w="80"/>
              <w:right w:type="dxa" w:w="120"/>
            </w:tcMar>
          </w:tcPr>
          <w:p>
            <w:r>
              <w:rPr>
                <w:b w:val="false"/>
                <w:bCs w:val="false"/>
                <w:color w:val="000000"/>
              </w:rPr>
              <w:t xml:space="preserve">300+</w:t>
            </w:r>
          </w:p>
        </w:tc>
        <w:tc>
          <w:tcPr>
            <w:tcW w:type="dxa" w:w="1300"/>
            <w:shd w:fill="F2F2F2" w:val="clear"/>
            <w:tcMar>
              <w:top w:type="dxa" w:w="80"/>
              <w:left w:type="dxa" w:w="120"/>
              <w:bottom w:type="dxa" w:w="80"/>
              <w:right w:type="dxa" w:w="120"/>
            </w:tcMar>
          </w:tcPr>
          <w:p>
            <w:r>
              <w:rPr>
                <w:b w:val="false"/>
                <w:bCs w:val="false"/>
                <w:color w:val="000000"/>
              </w:rPr>
              <w:t xml:space="preserve">KSh 500–600</w:t>
            </w:r>
          </w:p>
        </w:tc>
        <w:tc>
          <w:tcPr>
            <w:tcW w:type="dxa" w:w="1700"/>
            <w:shd w:fill="F2F2F2" w:val="clear"/>
            <w:tcMar>
              <w:top w:type="dxa" w:w="80"/>
              <w:left w:type="dxa" w:w="120"/>
              <w:bottom w:type="dxa" w:w="80"/>
              <w:right w:type="dxa" w:w="120"/>
            </w:tcMar>
          </w:tcPr>
          <w:p>
            <w:r>
              <w:rPr>
                <w:b w:val="false"/>
                <w:bCs w:val="false"/>
                <w:color w:val="000000"/>
              </w:rPr>
              <w:t xml:space="preserve">KSh 150,000–180,000</w:t>
            </w:r>
          </w:p>
        </w:tc>
        <w:tc>
          <w:tcPr>
            <w:tcW w:type="dxa" w:w="1700"/>
            <w:shd w:fill="F2F2F2" w:val="clear"/>
            <w:tcMar>
              <w:top w:type="dxa" w:w="80"/>
              <w:left w:type="dxa" w:w="120"/>
              <w:bottom w:type="dxa" w:w="80"/>
              <w:right w:type="dxa" w:w="120"/>
            </w:tcMar>
          </w:tcPr>
          <w:p>
            <w:r>
              <w:rPr>
                <w:b w:val="false"/>
                <w:bCs w:val="false"/>
                <w:color w:val="000000"/>
              </w:rPr>
              <w:t xml:space="preserve">KSh 6,000–9,000</w:t>
            </w:r>
          </w:p>
        </w:tc>
        <w:tc>
          <w:tcPr>
            <w:tcW w:type="dxa" w:w="1600"/>
            <w:shd w:fill="F2F2F2" w:val="clear"/>
            <w:tcMar>
              <w:top w:type="dxa" w:w="80"/>
              <w:left w:type="dxa" w:w="120"/>
              <w:bottom w:type="dxa" w:w="80"/>
              <w:right w:type="dxa" w:w="120"/>
            </w:tcMar>
          </w:tcPr>
          <w:p>
            <w:r>
              <w:rPr>
                <w:b w:val="false"/>
                <w:bCs w:val="false"/>
                <w:color w:val="000000"/>
              </w:rPr>
              <w:t xml:space="preserve">KSh 156,000–189,000</w:t>
            </w:r>
          </w:p>
        </w:tc>
      </w:tr>
    </w:tbl>
    <w:p>
      <w:pPr>
        <w:spacing w:after="160"/>
      </w:pPr>
    </w:p>
    <w:p>
      <w:pPr>
        <w:spacing w:after="160"/>
      </w:pPr>
      <w:r>
        <w:t xml:space="preserve">The owner subscription is the larger and more reliable revenue lever throughout — a KSh 100–200 increase in the per-car price outweighs the entire projected driver-premium contribution, without adding any risk to logging compliance. Phase 3 lender/financier revenue is intentionally left out of this table, as it depends on outcomes (verified multi-month records, confirmed lender interest) not yet in place.</w:t>
      </w:r>
    </w:p>
    <w:p>
      <w:pPr>
        <w:pStyle w:val="Heading1"/>
        <w:spacing w:after="160" w:before="360"/>
      </w:pPr>
      <w:r>
        <w:t xml:space="preserve">11. Risks &amp; Mitigations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300"/>
        <w:gridCol w:w="6900"/>
      </w:tblGrid>
      <w:tr>
        <w:trPr>
          <w:tblHeader/>
        </w:trPr>
        <w:tc>
          <w:tcPr>
            <w:tcW w:type="dxa" w:w="3300"/>
            <w:shd w:fill="1F3A5F" w:val="clear"/>
            <w:tcMar>
              <w:top w:type="dxa" w:w="80"/>
              <w:left w:type="dxa" w:w="120"/>
              <w:bottom w:type="dxa" w:w="80"/>
              <w:right w:type="dxa" w:w="120"/>
            </w:tcMar>
          </w:tcPr>
          <w:p>
            <w:r>
              <w:rPr>
                <w:b/>
                <w:bCs/>
                <w:color w:val="FFFFFF"/>
              </w:rPr>
              <w:t xml:space="preserve">Risk</w:t>
            </w:r>
          </w:p>
        </w:tc>
        <w:tc>
          <w:tcPr>
            <w:tcW w:type="dxa" w:w="6900"/>
            <w:shd w:fill="1F3A5F" w:val="clear"/>
            <w:tcMar>
              <w:top w:type="dxa" w:w="80"/>
              <w:left w:type="dxa" w:w="120"/>
              <w:bottom w:type="dxa" w:w="80"/>
              <w:right w:type="dxa" w:w="120"/>
            </w:tcMar>
          </w:tcPr>
          <w:p>
            <w:r>
              <w:rPr>
                <w:b/>
                <w:bCs/>
                <w:color w:val="FFFFFF"/>
              </w:rPr>
              <w:t xml:space="preserve">Mitigation</w:t>
            </w:r>
          </w:p>
        </w:tc>
      </w:tr>
      <w:tr>
        <w:tc>
          <w:tcPr>
            <w:tcW w:type="dxa" w:w="3300"/>
            <w:tcMar>
              <w:top w:type="dxa" w:w="80"/>
              <w:left w:type="dxa" w:w="120"/>
              <w:bottom w:type="dxa" w:w="80"/>
              <w:right w:type="dxa" w:w="120"/>
            </w:tcMar>
          </w:tcPr>
          <w:p>
            <w:r>
              <w:rPr>
                <w:b w:val="false"/>
                <w:bCs w:val="false"/>
                <w:color w:val="000000"/>
              </w:rPr>
              <w:t xml:space="preserve">Drivers under-report trips despite free logging</w:t>
            </w:r>
          </w:p>
        </w:tc>
        <w:tc>
          <w:tcPr>
            <w:tcW w:type="dxa" w:w="6900"/>
            <w:tcMar>
              <w:top w:type="dxa" w:w="80"/>
              <w:left w:type="dxa" w:w="120"/>
              <w:bottom w:type="dxa" w:w="80"/>
              <w:right w:type="dxa" w:w="120"/>
            </w:tcMar>
          </w:tcPr>
          <w:p>
            <w:r>
              <w:rPr>
                <w:b w:val="false"/>
                <w:bCs w:val="false"/>
                <w:color w:val="000000"/>
              </w:rPr>
              <w:t xml:space="preserve">Keep logging effortless (single WhatsApp message); build a visible streak incentive tied to the record's future value; make gaps visible to owners rather than hidden</w:t>
            </w:r>
          </w:p>
        </w:tc>
      </w:tr>
      <w:tr>
        <w:tc>
          <w:tcPr>
            <w:tcW w:type="dxa" w:w="3300"/>
            <w:shd w:fill="F2F2F2" w:val="clear"/>
            <w:tcMar>
              <w:top w:type="dxa" w:w="80"/>
              <w:left w:type="dxa" w:w="120"/>
              <w:bottom w:type="dxa" w:w="80"/>
              <w:right w:type="dxa" w:w="120"/>
            </w:tcMar>
          </w:tcPr>
          <w:p>
            <w:r>
              <w:rPr>
                <w:b w:val="false"/>
                <w:bCs w:val="false"/>
                <w:color w:val="000000"/>
              </w:rPr>
              <w:t xml:space="preserve">Owners don't convert from free WhatsApp habits</w:t>
            </w:r>
          </w:p>
        </w:tc>
        <w:tc>
          <w:tcPr>
            <w:tcW w:type="dxa" w:w="6900"/>
            <w:shd w:fill="F2F2F2" w:val="clear"/>
            <w:tcMar>
              <w:top w:type="dxa" w:w="80"/>
              <w:left w:type="dxa" w:w="120"/>
              <w:bottom w:type="dxa" w:w="80"/>
              <w:right w:type="dxa" w:w="120"/>
            </w:tcMar>
          </w:tcPr>
          <w:p>
            <w:r>
              <w:rPr>
                <w:b w:val="false"/>
                <w:bCs w:val="false"/>
                <w:color w:val="000000"/>
              </w:rPr>
              <w:t xml:space="preserve">Free single-car trial; lead with the quantified leakage figure; weekly reports that prove ongoing value</w:t>
            </w:r>
          </w:p>
        </w:tc>
      </w:tr>
      <w:tr>
        <w:tc>
          <w:tcPr>
            <w:tcW w:type="dxa" w:w="3300"/>
            <w:tcMar>
              <w:top w:type="dxa" w:w="80"/>
              <w:left w:type="dxa" w:w="120"/>
              <w:bottom w:type="dxa" w:w="80"/>
              <w:right w:type="dxa" w:w="120"/>
            </w:tcMar>
          </w:tcPr>
          <w:p>
            <w:r>
              <w:rPr>
                <w:b w:val="false"/>
                <w:bCs w:val="false"/>
                <w:color w:val="000000"/>
              </w:rPr>
              <w:t xml:space="preserve">Price point (KSh 400–600) is untested</w:t>
            </w:r>
          </w:p>
        </w:tc>
        <w:tc>
          <w:tcPr>
            <w:tcW w:type="dxa" w:w="6900"/>
            <w:tcMar>
              <w:top w:type="dxa" w:w="80"/>
              <w:left w:type="dxa" w:w="120"/>
              <w:bottom w:type="dxa" w:w="80"/>
              <w:right w:type="dxa" w:w="120"/>
            </w:tcMar>
          </w:tcPr>
          <w:p>
            <w:r>
              <w:rPr>
                <w:b w:val="false"/>
                <w:bCs w:val="false"/>
                <w:color w:val="000000"/>
              </w:rPr>
              <w:t xml:space="preserve">Validate directly with 5–10 owners before wide rollout (Section 9)</w:t>
            </w:r>
          </w:p>
        </w:tc>
      </w:tr>
      <w:tr>
        <w:tc>
          <w:tcPr>
            <w:tcW w:type="dxa" w:w="3300"/>
            <w:shd w:fill="F2F2F2" w:val="clear"/>
            <w:tcMar>
              <w:top w:type="dxa" w:w="80"/>
              <w:left w:type="dxa" w:w="120"/>
              <w:bottom w:type="dxa" w:w="80"/>
              <w:right w:type="dxa" w:w="120"/>
            </w:tcMar>
          </w:tcPr>
          <w:p>
            <w:r>
              <w:rPr>
                <w:b w:val="false"/>
                <w:bCs w:val="false"/>
                <w:color w:val="000000"/>
              </w:rPr>
              <w:t xml:space="preserve">Driver premium tier undermines logging compliance if introduced too early</w:t>
            </w:r>
          </w:p>
        </w:tc>
        <w:tc>
          <w:tcPr>
            <w:tcW w:type="dxa" w:w="6900"/>
            <w:shd w:fill="F2F2F2" w:val="clear"/>
            <w:tcMar>
              <w:top w:type="dxa" w:w="80"/>
              <w:left w:type="dxa" w:w="120"/>
              <w:bottom w:type="dxa" w:w="80"/>
              <w:right w:type="dxa" w:w="120"/>
            </w:tcMar>
          </w:tcPr>
          <w:p>
            <w:r>
              <w:rPr>
                <w:b w:val="false"/>
                <w:bCs w:val="false"/>
                <w:color w:val="000000"/>
              </w:rPr>
              <w:t xml:space="preserve">Delay Phase 2 until logging habits are established (~month 6+); keep it strictly opt-in, never a gate</w:t>
            </w:r>
          </w:p>
        </w:tc>
      </w:tr>
      <w:tr>
        <w:tc>
          <w:tcPr>
            <w:tcW w:type="dxa" w:w="3300"/>
            <w:tcMar>
              <w:top w:type="dxa" w:w="80"/>
              <w:left w:type="dxa" w:w="120"/>
              <w:bottom w:type="dxa" w:w="80"/>
              <w:right w:type="dxa" w:w="120"/>
            </w:tcMar>
          </w:tcPr>
          <w:p>
            <w:r>
              <w:rPr>
                <w:b w:val="false"/>
                <w:bCs w:val="false"/>
                <w:color w:val="000000"/>
              </w:rPr>
              <w:t xml:space="preserve">"Verified" income record overstates what is actually self-reported data</w:t>
            </w:r>
          </w:p>
        </w:tc>
        <w:tc>
          <w:tcPr>
            <w:tcW w:type="dxa" w:w="6900"/>
            <w:tcMar>
              <w:top w:type="dxa" w:w="80"/>
              <w:left w:type="dxa" w:w="120"/>
              <w:bottom w:type="dxa" w:w="80"/>
              <w:right w:type="dxa" w:w="120"/>
            </w:tcMar>
          </w:tcPr>
          <w:p>
            <w:r>
              <w:rPr>
                <w:b w:val="false"/>
                <w:bCs w:val="false"/>
                <w:color w:val="000000"/>
              </w:rPr>
              <w:t xml:space="preserve">Market it honestly as a self-reported earnings history, not a verified financial instrument, until any independent verification exists</w:t>
            </w:r>
          </w:p>
        </w:tc>
      </w:tr>
      <w:tr>
        <w:tc>
          <w:tcPr>
            <w:tcW w:type="dxa" w:w="3300"/>
            <w:shd w:fill="F2F2F2" w:val="clear"/>
            <w:tcMar>
              <w:top w:type="dxa" w:w="80"/>
              <w:left w:type="dxa" w:w="120"/>
              <w:bottom w:type="dxa" w:w="80"/>
              <w:right w:type="dxa" w:w="120"/>
            </w:tcMar>
          </w:tcPr>
          <w:p>
            <w:r>
              <w:rPr>
                <w:b w:val="false"/>
                <w:bCs w:val="false"/>
                <w:color w:val="000000"/>
              </w:rPr>
              <w:t xml:space="preserve">Owner-driver disputes over reported numbers</w:t>
            </w:r>
          </w:p>
        </w:tc>
        <w:tc>
          <w:tcPr>
            <w:tcW w:type="dxa" w:w="6900"/>
            <w:shd w:fill="F2F2F2" w:val="clear"/>
            <w:tcMar>
              <w:top w:type="dxa" w:w="80"/>
              <w:left w:type="dxa" w:w="120"/>
              <w:bottom w:type="dxa" w:w="80"/>
              <w:right w:type="dxa" w:w="120"/>
            </w:tcMar>
          </w:tcPr>
          <w:p>
            <w:r>
              <w:rPr>
                <w:b w:val="false"/>
                <w:bCs w:val="false"/>
                <w:color w:val="000000"/>
              </w:rPr>
              <w:t xml:space="preserve">Establish a clear, published dispute-handling policy before this occurs in production</w:t>
            </w:r>
          </w:p>
        </w:tc>
      </w:tr>
    </w:tbl>
    <w:p>
      <w:pPr>
        <w:spacing w:after="160"/>
      </w:pPr>
    </w:p>
    <w:p>
      <w:pPr>
        <w:pStyle w:val="Heading1"/>
        <w:spacing w:after="160" w:before="360"/>
      </w:pPr>
      <w:r>
        <w:t xml:space="preserve">12. Regulatory Considerations</w:t>
      </w:r>
    </w:p>
    <w:p>
      <w:pPr>
        <w:pStyle w:val="ListParagraph"/>
        <w:numPr>
          <w:ilvl w:val="0"/>
          <w:numId w:val="1"/>
        </w:numPr>
        <w:spacing w:after="80"/>
      </w:pPr>
      <w:r>
        <w:t xml:space="preserve">Data Protection Act (Kenya): driver and owner data collected must be handled under registered data-controller obligations, with clear consent for any data shared with third parties (notably the Phase 3 lender-access layer).</w:t>
      </w:r>
    </w:p>
    <w:p>
      <w:pPr>
        <w:pStyle w:val="ListParagraph"/>
        <w:numPr>
          <w:ilvl w:val="0"/>
          <w:numId w:val="1"/>
        </w:numPr>
        <w:spacing w:after="80"/>
      </w:pPr>
      <w:r>
        <w:t xml:space="preserve">No transport-licensing exposure: Pesly does not dispatch rides, set fares, or operate vehicles, and stays outside NTSA digital-taxi-hailing licensing requirements that apply to platforms like Uber, Bolt, and Little.</w:t>
      </w:r>
    </w:p>
    <w:p>
      <w:pPr>
        <w:pStyle w:val="ListParagraph"/>
        <w:numPr>
          <w:ilvl w:val="0"/>
          <w:numId w:val="1"/>
        </w:numPr>
        <w:spacing w:after="80"/>
      </w:pPr>
      <w:r>
        <w:t xml:space="preserve">No financial-services licensing exposure at launch: Pesly does not hold, move, or lend money; this must be re-examined if and when Phase 3 lender partnerships are pursued.</w:t>
      </w:r>
    </w:p>
    <w:p>
      <w:pPr>
        <w:pStyle w:val="ListParagraph"/>
        <w:numPr>
          <w:ilvl w:val="0"/>
          <w:numId w:val="1"/>
        </w:numPr>
        <w:spacing w:after="80"/>
      </w:pPr>
      <w:r>
        <w:t xml:space="preserve">Trademark: a KIPI trademark filing for the Pesly name/brand is worth completing early and cheaply, before wider public launch.</w:t>
      </w:r>
    </w:p>
    <w:p>
      <w:pPr>
        <w:pStyle w:val="Heading1"/>
        <w:spacing w:after="160" w:before="360"/>
      </w:pPr>
      <w:r>
        <w:t xml:space="preserve">13. Roadmap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A5F" w:val="clear"/>
            <w:tcMar>
              <w:top w:type="dxa" w:w="80"/>
              <w:left w:type="dxa" w:w="120"/>
              <w:bottom w:type="dxa" w:w="80"/>
              <w:right w:type="dxa" w:w="120"/>
            </w:tcMar>
          </w:tcPr>
          <w:p>
            <w:r>
              <w:rPr>
                <w:b/>
                <w:bCs/>
                <w:color w:val="FFFFFF"/>
              </w:rPr>
              <w:t xml:space="preserve">Timeframe</w:t>
            </w:r>
          </w:p>
        </w:tc>
        <w:tc>
          <w:tcPr>
            <w:tcW w:type="dxa" w:w="7600"/>
            <w:shd w:fill="1F3A5F" w:val="clear"/>
            <w:tcMar>
              <w:top w:type="dxa" w:w="80"/>
              <w:left w:type="dxa" w:w="120"/>
              <w:bottom w:type="dxa" w:w="80"/>
              <w:right w:type="dxa" w:w="120"/>
            </w:tcMar>
          </w:tcPr>
          <w:p>
            <w:r>
              <w:rPr>
                <w:b/>
                <w:bCs/>
                <w:color w:val="FFFFFF"/>
              </w:rPr>
              <w:t xml:space="preserve">Milestone</w:t>
            </w:r>
          </w:p>
        </w:tc>
      </w:tr>
      <w:tr>
        <w:tc>
          <w:tcPr>
            <w:tcW w:type="dxa" w:w="2600"/>
            <w:tcMar>
              <w:top w:type="dxa" w:w="80"/>
              <w:left w:type="dxa" w:w="120"/>
              <w:bottom w:type="dxa" w:w="80"/>
              <w:right w:type="dxa" w:w="120"/>
            </w:tcMar>
          </w:tcPr>
          <w:p>
            <w:r>
              <w:rPr>
                <w:b w:val="false"/>
                <w:bCs w:val="false"/>
                <w:color w:val="000000"/>
              </w:rPr>
              <w:t xml:space="preserve">Month 0–1</w:t>
            </w:r>
          </w:p>
        </w:tc>
        <w:tc>
          <w:tcPr>
            <w:tcW w:type="dxa" w:w="7600"/>
            <w:tcMar>
              <w:top w:type="dxa" w:w="80"/>
              <w:left w:type="dxa" w:w="120"/>
              <w:bottom w:type="dxa" w:w="80"/>
              <w:right w:type="dxa" w:w="120"/>
            </w:tcMar>
          </w:tcPr>
          <w:p>
            <w:r>
              <w:rPr>
                <w:b w:val="false"/>
                <w:bCs w:val="false"/>
                <w:color w:val="000000"/>
              </w:rPr>
              <w:t xml:space="preserve">Owner/driver validation interviews; finalize linking-code MVP scope</w:t>
            </w:r>
          </w:p>
        </w:tc>
      </w:tr>
      <w:tr>
        <w:tc>
          <w:tcPr>
            <w:tcW w:type="dxa" w:w="2600"/>
            <w:shd w:fill="F2F2F2" w:val="clear"/>
            <w:tcMar>
              <w:top w:type="dxa" w:w="80"/>
              <w:left w:type="dxa" w:w="120"/>
              <w:bottom w:type="dxa" w:w="80"/>
              <w:right w:type="dxa" w:w="120"/>
            </w:tcMar>
          </w:tcPr>
          <w:p>
            <w:r>
              <w:rPr>
                <w:b w:val="false"/>
                <w:bCs w:val="false"/>
                <w:color w:val="000000"/>
              </w:rPr>
              <w:t xml:space="preserve">Month 1–3</w:t>
            </w:r>
          </w:p>
        </w:tc>
        <w:tc>
          <w:tcPr>
            <w:tcW w:type="dxa" w:w="7600"/>
            <w:shd w:fill="F2F2F2" w:val="clear"/>
            <w:tcMar>
              <w:top w:type="dxa" w:w="80"/>
              <w:left w:type="dxa" w:w="120"/>
              <w:bottom w:type="dxa" w:w="80"/>
              <w:right w:type="dxa" w:w="120"/>
            </w:tcMar>
          </w:tcPr>
          <w:p>
            <w:r>
              <w:rPr>
                <w:b w:val="false"/>
                <w:bCs w:val="false"/>
                <w:color w:val="000000"/>
              </w:rPr>
              <w:t xml:space="preserve">Build owner dashboard MVP; pilot with 1–2 owners, free trial</w:t>
            </w:r>
          </w:p>
        </w:tc>
      </w:tr>
      <w:tr>
        <w:tc>
          <w:tcPr>
            <w:tcW w:type="dxa" w:w="2600"/>
            <w:tcMar>
              <w:top w:type="dxa" w:w="80"/>
              <w:left w:type="dxa" w:w="120"/>
              <w:bottom w:type="dxa" w:w="80"/>
              <w:right w:type="dxa" w:w="120"/>
            </w:tcMar>
          </w:tcPr>
          <w:p>
            <w:r>
              <w:rPr>
                <w:b w:val="false"/>
                <w:bCs w:val="false"/>
                <w:color w:val="000000"/>
              </w:rPr>
              <w:t xml:space="preserve">Month 3–6</w:t>
            </w:r>
          </w:p>
        </w:tc>
        <w:tc>
          <w:tcPr>
            <w:tcW w:type="dxa" w:w="7600"/>
            <w:tcMar>
              <w:top w:type="dxa" w:w="80"/>
              <w:left w:type="dxa" w:w="120"/>
              <w:bottom w:type="dxa" w:w="80"/>
              <w:right w:type="dxa" w:w="120"/>
            </w:tcMar>
          </w:tcPr>
          <w:p>
            <w:r>
              <w:rPr>
                <w:b w:val="false"/>
                <w:bCs w:val="false"/>
                <w:color w:val="000000"/>
              </w:rPr>
              <w:t xml:space="preserve">Paid rollout to 20+ owners; refine pricing from real conversion data</w:t>
            </w:r>
          </w:p>
        </w:tc>
      </w:tr>
      <w:tr>
        <w:tc>
          <w:tcPr>
            <w:tcW w:type="dxa" w:w="2600"/>
            <w:shd w:fill="F2F2F2" w:val="clear"/>
            <w:tcMar>
              <w:top w:type="dxa" w:w="80"/>
              <w:left w:type="dxa" w:w="120"/>
              <w:bottom w:type="dxa" w:w="80"/>
              <w:right w:type="dxa" w:w="120"/>
            </w:tcMar>
          </w:tcPr>
          <w:p>
            <w:r>
              <w:rPr>
                <w:b w:val="false"/>
                <w:bCs w:val="false"/>
                <w:color w:val="000000"/>
              </w:rPr>
              <w:t xml:space="preserve">Month 6–9</w:t>
            </w:r>
          </w:p>
        </w:tc>
        <w:tc>
          <w:tcPr>
            <w:tcW w:type="dxa" w:w="7600"/>
            <w:shd w:fill="F2F2F2" w:val="clear"/>
            <w:tcMar>
              <w:top w:type="dxa" w:w="80"/>
              <w:left w:type="dxa" w:w="120"/>
              <w:bottom w:type="dxa" w:w="80"/>
              <w:right w:type="dxa" w:w="120"/>
            </w:tcMar>
          </w:tcPr>
          <w:p>
            <w:r>
              <w:rPr>
                <w:b w:val="false"/>
                <w:bCs w:val="false"/>
                <w:color w:val="000000"/>
              </w:rPr>
              <w:t xml:space="preserve">Scale to 50 owners / ~300 cars; introduce optional driver premium tier</w:t>
            </w:r>
          </w:p>
        </w:tc>
      </w:tr>
      <w:tr>
        <w:tc>
          <w:tcPr>
            <w:tcW w:type="dxa" w:w="2600"/>
            <w:tcMar>
              <w:top w:type="dxa" w:w="80"/>
              <w:left w:type="dxa" w:w="120"/>
              <w:bottom w:type="dxa" w:w="80"/>
              <w:right w:type="dxa" w:w="120"/>
            </w:tcMar>
          </w:tcPr>
          <w:p>
            <w:r>
              <w:rPr>
                <w:b w:val="false"/>
                <w:bCs w:val="false"/>
                <w:color w:val="000000"/>
              </w:rPr>
              <w:t xml:space="preserve">Month 9–18</w:t>
            </w:r>
          </w:p>
        </w:tc>
        <w:tc>
          <w:tcPr>
            <w:tcW w:type="dxa" w:w="7600"/>
            <w:tcMar>
              <w:top w:type="dxa" w:w="80"/>
              <w:left w:type="dxa" w:w="120"/>
              <w:bottom w:type="dxa" w:w="80"/>
              <w:right w:type="dxa" w:w="120"/>
            </w:tcMar>
          </w:tcPr>
          <w:p>
            <w:r>
              <w:rPr>
                <w:b w:val="false"/>
                <w:bCs w:val="false"/>
                <w:color w:val="000000"/>
              </w:rPr>
              <w:t xml:space="preserve">Explore Phase 3 lender/financier conversations once verified multi-month records exist</w:t>
            </w:r>
          </w:p>
        </w:tc>
      </w:tr>
    </w:tbl>
    <w:p>
      <w:pPr>
        <w:spacing w:after="160"/>
      </w:pPr>
    </w:p>
    <w:p>
      <w:pPr>
        <w:pStyle w:val="Heading1"/>
        <w:spacing w:after="160" w:before="360"/>
      </w:pPr>
      <w:r>
        <w:t xml:space="preserve">14. Funding Ask &amp; Use of Funds</w:t>
      </w:r>
    </w:p>
    <w:p>
      <w:pPr>
        <w:spacing w:after="160"/>
      </w:pPr>
      <w:r>
        <w:t xml:space="preserve">Indicative ask for a 12-month runway to reach the Phase 1 scale target (50 owners / 300 cars): KSh 1.5–3 million, to be refined once Section 9 validation confirms conversion assumptions. Suggested allocation:</w:t>
      </w:r>
    </w:p>
    <w:p>
      <w:pPr>
        <w:pStyle w:val="ListParagraph"/>
        <w:numPr>
          <w:ilvl w:val="0"/>
          <w:numId w:val="1"/>
        </w:numPr>
        <w:spacing w:after="80"/>
      </w:pPr>
      <w:r>
        <w:t xml:space="preserve">Engineering &amp; product (dashboard build, WhatsApp integration, hosting): ~40%</w:t>
      </w:r>
    </w:p>
    <w:p>
      <w:pPr>
        <w:pStyle w:val="ListParagraph"/>
        <w:numPr>
          <w:ilvl w:val="0"/>
          <w:numId w:val="1"/>
        </w:numPr>
        <w:spacing w:after="80"/>
      </w:pPr>
      <w:r>
        <w:t xml:space="preserve">Field sales &amp; owner onboarding (relationship-based, ground presence): ~30%</w:t>
      </w:r>
    </w:p>
    <w:p>
      <w:pPr>
        <w:pStyle w:val="ListParagraph"/>
        <w:numPr>
          <w:ilvl w:val="0"/>
          <w:numId w:val="1"/>
        </w:numPr>
        <w:spacing w:after="80"/>
      </w:pPr>
      <w:r>
        <w:t xml:space="preserve">Working capital / operating buffer: ~20%</w:t>
      </w:r>
    </w:p>
    <w:p>
      <w:pPr>
        <w:pStyle w:val="ListParagraph"/>
        <w:numPr>
          <w:ilvl w:val="0"/>
          <w:numId w:val="1"/>
        </w:numPr>
        <w:spacing w:after="80"/>
      </w:pPr>
      <w:r>
        <w:t xml:space="preserve">Legal, trademark, and data-protection compliance setup: ~10%</w:t>
      </w:r>
    </w:p>
    <w:p>
      <w:pPr>
        <w:pStyle w:val="Heading1"/>
        <w:spacing w:after="160" w:before="360"/>
      </w:pPr>
      <w:r>
        <w:t xml:space="preserve">15. About</w:t>
      </w:r>
    </w:p>
    <w:p>
      <w:pPr>
        <w:spacing w:after="160"/>
      </w:pPr>
      <w:r>
        <w:t xml:space="preserve">Pesly is founded by Angela Odhiambo, a Nairobi-based frontend developer and UI/UX designer with a BSc in Computer Science from the University of the People. The idea is grounded in direct observation of how Nairobi's ride-hailing fleet ownership actually works, and is being developed toward grant and competition funding as an early-stage, pre-build venture.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Pesly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B8860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2026-09-04T14:41:31.067Z</dcterms:created>
  <dcterms:modified xsi:type="dcterms:W3CDTF">2026-09-04T14:41:31.067Z</dcterms:modified>
</cp:coreProperties>
</file>

<file path=docProps/custom.xml><?xml version="1.0" encoding="utf-8"?>
<Properties xmlns="http://schemas.openxmlformats.org/officeDocument/2006/custom-properties" xmlns:vt="http://schemas.openxmlformats.org/officeDocument/2006/docPropsVTypes"/>
</file>