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</w:pPr>
      <w:r>
        <w:rPr>
          <w:rFonts w:ascii="Arial" w:hAnsi="Arial" w:eastAsia="Arial"/>
          <w:b/>
          <w:color w:val="1F4D78"/>
          <w:sz w:val="44"/>
        </w:rPr>
        <w:t>Solicitud de documentación para el mapeo operativo de Pulycort</w:t>
      </w:r>
    </w:p>
    <w:p>
      <w:pPr>
        <w:spacing w:after="240" w:line="276" w:lineRule="auto"/>
      </w:pPr>
      <w:r>
        <w:rPr>
          <w:rFonts w:ascii="Arial" w:hAnsi="Arial" w:eastAsia="Arial"/>
          <w:b w:val="0"/>
          <w:color w:val="5A6678"/>
          <w:sz w:val="23"/>
        </w:rPr>
        <w:t>Objetivo: comprender procesos, trazabilidad, producción, Odoo, máquinas y gestión diaria para preparar mejoras operativas y futuras integraciones.</w:t>
      </w:r>
    </w:p>
    <w:tbl>
      <w:tblGrid>
        <w:gridCol w:w="1800"/>
        <w:gridCol w:w="75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Dirigido 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Equipo de Pulycort / INDASEL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Fecha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10 de junio de 2026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Finalidad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Reunir ejemplos reales y documentación completa para mapear la empresa de punta a punta.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Arial" w:hAnsi="Arial" w:eastAsia="Arial"/>
          <w:b w:val="0"/>
          <w:color w:val="172033"/>
          <w:sz w:val="21"/>
        </w:rPr>
        <w:t>Para avanzar con rigor en el mapeo operativo de Pulycort, necesitamos trabajar con documentación real de la empresa: expedientes, partes, capturas, exportaciones y ejemplos de casos habituales y excepcionales.</w:t>
      </w:r>
    </w:p>
    <w:p>
      <w:pPr>
        <w:spacing w:after="120" w:line="264" w:lineRule="auto"/>
      </w:pPr>
      <w:r>
        <w:rPr>
          <w:rFonts w:ascii="Arial" w:hAnsi="Arial" w:eastAsia="Arial"/>
          <w:b w:val="0"/>
          <w:color w:val="172033"/>
          <w:sz w:val="21"/>
        </w:rPr>
        <w:t>No es necesario que la información esté perfecta ni homogeneizada. También son útiles documentos incompletos, capturas de pantalla, hojas internas, archivos desordenados o ejemplos donde se vea cómo se resuelven los problemas en la práctica.</w:t>
      </w: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FF4DD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color w:val="1F4D78"/>
                <w:sz w:val="21"/>
              </w:rPr>
              <w:t xml:space="preserve">Envío y seguridad: </w:t>
            </w:r>
            <w:r>
              <w:rPr>
                <w:rFonts w:ascii="Arial" w:hAnsi="Arial" w:eastAsia="Arial"/>
                <w:b w:val="0"/>
                <w:color w:val="172033"/>
                <w:sz w:val="21"/>
              </w:rPr>
              <w:t>solicitamos documentación completa. Los archivos con datos personales, clientes, precios, accesos, IPs, credenciales o información sensible deben compartirse únicamente por el canal seguro que acordemos.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 w:eastAsia="Arial"/>
          <w:b/>
          <w:color w:val="2E74B5"/>
          <w:sz w:val="32"/>
        </w:rPr>
        <w:t>1. Documentación prioritaria</w:t>
      </w:r>
    </w:p>
    <w:p>
      <w:pPr>
        <w:spacing w:after="120" w:line="264" w:lineRule="auto"/>
      </w:pPr>
      <w:r>
        <w:rPr>
          <w:rFonts w:ascii="Arial" w:hAnsi="Arial" w:eastAsia="Arial"/>
          <w:b w:val="0"/>
          <w:color w:val="172033"/>
          <w:sz w:val="21"/>
        </w:rPr>
        <w:t>Estos bloques son los más importantes para pasar de entender catálogos a entender cómo fluye realmente el negocio.</w:t>
      </w:r>
    </w:p>
    <w:tbl>
      <w:tblGrid>
        <w:gridCol w:w="2950"/>
        <w:gridCol w:w="5030"/>
        <w:gridCol w:w="138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4D78"/>
                <w:sz w:val="19"/>
              </w:rPr>
              <w:t>Documentación solicitada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4D78"/>
                <w:sz w:val="19"/>
              </w:rPr>
              <w:t>Para qué sirve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4D78"/>
                <w:sz w:val="19"/>
              </w:rPr>
              <w:t>Prioridad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5-10 pedidos reales completos de punta a punta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Ver el recorrido completo desde presupuesto hasta cobro: pedido, producción, lote/PM, albarán, factura, incidencias y comunicaciones relevantes.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FF4DD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color w:val="7A5A00"/>
                <w:sz w:val="18"/>
              </w:rPr>
              <w:t>Muy alta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Partes reales y exportaciones de producción por máquina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Entender campos, tiempos, operarios, materiales, lotes, consumos, estados e identificadores que conectan producción con Odoo.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FF4DD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color w:val="7A5A00"/>
                <w:sz w:val="18"/>
              </w:rPr>
              <w:t>Muy alta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Capturas o exportaciones del sistema actual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Ver cómo están modelados hoy productos, variantes, lotes, stock, pedidos, clientes, tarifas, partes y máquinas.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FF4DD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color w:val="7A5A00"/>
                <w:sz w:val="18"/>
              </w:rPr>
              <w:t>Alta</w:t>
            </w:r>
          </w:p>
        </w:tc>
      </w:tr>
    </w:tbl>
    <w:p>
      <w:pPr>
        <w:keepNext/>
        <w:spacing w:before="320" w:after="160"/>
      </w:pPr>
      <w:r>
        <w:rPr>
          <w:rFonts w:ascii="Arial" w:hAnsi="Arial" w:eastAsia="Arial"/>
          <w:b/>
          <w:color w:val="2E74B5"/>
          <w:sz w:val="32"/>
        </w:rPr>
        <w:t>2. Documentación operativa</w:t>
      </w:r>
    </w:p>
    <w:tbl>
      <w:tblGrid>
        <w:gridCol w:w="2300"/>
        <w:gridCol w:w="4300"/>
        <w:gridCol w:w="27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4D78"/>
                <w:sz w:val="19"/>
              </w:rPr>
              <w:t>Bloque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4D78"/>
                <w:sz w:val="19"/>
              </w:rPr>
              <w:t>Qué pedir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4D78"/>
                <w:sz w:val="19"/>
              </w:rPr>
              <w:t>Objetivo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Organización y responsabilidades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Roles, responsables por área, quién presupuesta, quién confirma pedidos, quién planifica, quién produce, quién valida calidad y quién factura.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Entender propietarios, decisiones y puntos de coordinación.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Planificación y control diario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Calendarios de producción, hojas de seguimiento, pizarras, Excel internos, listas de tareas, partes manuales y comunicaciones recurrentes.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Detectar los sistemas reales que sostienen la operación diaria.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Casos problemáticos o excepciones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Pedidos con medidas especiales, cambios de material, roturas, mermas, reprocesos, retrasos, errores de stock o cambios de pedido.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Diseñar procesos que aguanten la realidad, no solo el caso ideal.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Inventario físico y trazabilidad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Etiquetas, códigos de bloque, tabla, losa, palet, cajón, ubicación, fotos de identificación y ejemplos de movimientos.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Conectar material físico, lote, ubicación y pedido.</w:t>
            </w:r>
          </w:p>
        </w:tc>
      </w:tr>
    </w:tbl>
    <w:p>
      <w:pPr>
        <w:keepNext/>
        <w:spacing w:before="320" w:after="160"/>
      </w:pPr>
      <w:r>
        <w:rPr>
          <w:rFonts w:ascii="Arial" w:hAnsi="Arial" w:eastAsia="Arial"/>
          <w:b/>
          <w:color w:val="2E74B5"/>
          <w:sz w:val="32"/>
        </w:rPr>
        <w:t>3. Información comercial, económica y de precio</w:t>
      </w:r>
    </w:p>
    <w:p>
      <w:pPr>
        <w:spacing w:after="120" w:line="264" w:lineRule="auto"/>
      </w:pPr>
      <w:r>
        <w:rPr>
          <w:rFonts w:ascii="Arial" w:hAnsi="Arial" w:eastAsia="Arial"/>
          <w:b w:val="0"/>
          <w:color w:val="172033"/>
          <w:sz w:val="21"/>
        </w:rPr>
        <w:t>Para que el modelo operativo sea útil, también necesitamos comprender cómo se decide y se calcula el valor económico de cada trabajo.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172033"/>
          <w:sz w:val="21"/>
        </w:rPr>
        <w:t>Reglas reales de presupuesto: qué datos se usan, qué se calcula automáticamente y qué se decide manualmente.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172033"/>
          <w:sz w:val="21"/>
        </w:rPr>
        <w:t>Tarifas aplicadas por material, acabado, grosor, medida, familia, cliente, urgencia, transporte o embalaje.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172033"/>
          <w:sz w:val="21"/>
        </w:rPr>
        <w:t>Descuentos, condiciones especiales, excepciones habituales y criterios para modificar un precio estándar.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172033"/>
          <w:sz w:val="21"/>
        </w:rPr>
        <w:t>Costes directos e indirectos que se consideren relevantes para producción, máquina, operación o margen.</w:t>
      </w:r>
    </w:p>
    <w:p>
      <w:pPr>
        <w:keepNext/>
        <w:spacing w:before="320" w:after="160"/>
      </w:pPr>
      <w:r>
        <w:rPr>
          <w:rFonts w:ascii="Arial" w:hAnsi="Arial" w:eastAsia="Arial"/>
          <w:b/>
          <w:color w:val="2E74B5"/>
          <w:sz w:val="32"/>
        </w:rPr>
        <w:t>4. Formato de entrega recomendado</w:t>
      </w:r>
    </w:p>
    <w:p>
      <w:pPr>
        <w:spacing w:after="120" w:line="264" w:lineRule="auto"/>
      </w:pPr>
      <w:r>
        <w:rPr>
          <w:rFonts w:ascii="Arial" w:hAnsi="Arial" w:eastAsia="Arial"/>
          <w:b w:val="0"/>
          <w:color w:val="172033"/>
          <w:sz w:val="21"/>
        </w:rPr>
        <w:t>Lo ideal es conservar los nombres originales de los archivos y acompañarlos de una breve nota cuando el contexto no sea evidente. Si existen exportaciones, preferimos recibir el formato original además de PDF o captura.</w:t>
      </w:r>
    </w:p>
    <w:tbl>
      <w:tblGrid>
        <w:gridCol w:w="2500"/>
        <w:gridCol w:w="68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4D78"/>
                <w:sz w:val="19"/>
              </w:rPr>
              <w:t>Tipo de material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4D78"/>
                <w:sz w:val="19"/>
              </w:rPr>
              <w:t>Formato útil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Expedientes de pedido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Carpeta por pedido con presupuesto, pedido, producción, albarán, factura y comunicaciones asociadas.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Partes de máquina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Archivo original exportado, Excel/CSV si existe, PDF o capturas si no hay exportación.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Sistemas actuales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Capturas de pantalla con contexto: módulo, vista, filtros usados y ejemplo concreto.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Documentos internos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172033"/>
                <w:sz w:val="18"/>
              </w:rPr>
              <w:t>Excel, Word, PDF, fotos o capturas tal como se usan actualmente.</w:t>
            </w:r>
          </w:p>
        </w:tc>
      </w:tr>
    </w:tbl>
    <w:p>
      <w:pPr>
        <w:keepNext/>
        <w:spacing w:before="320" w:after="160"/>
      </w:pPr>
      <w:r>
        <w:rPr>
          <w:rFonts w:ascii="Arial" w:hAnsi="Arial" w:eastAsia="Arial"/>
          <w:b/>
          <w:color w:val="2E74B5"/>
          <w:sz w:val="32"/>
        </w:rPr>
        <w:t>5. Primer envío recomendado</w:t>
      </w:r>
    </w:p>
    <w:p>
      <w:pPr>
        <w:spacing w:after="120" w:line="264" w:lineRule="auto"/>
      </w:pPr>
      <w:r>
        <w:rPr>
          <w:rFonts w:ascii="Arial" w:hAnsi="Arial" w:eastAsia="Arial"/>
          <w:b w:val="0"/>
          <w:color w:val="172033"/>
          <w:sz w:val="21"/>
        </w:rPr>
        <w:t>Para empezar sin bloquear el trabajo, proponemos un primer paquete acotado con los siguientes elementos: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172033"/>
          <w:sz w:val="21"/>
        </w:rPr>
        <w:t>5-10 pedidos reales completos, incluyendo algún caso sencillo y algún caso problemático.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172033"/>
          <w:sz w:val="21"/>
        </w:rPr>
        <w:t>Exportaciones o partes reales de telar, reforzadora, pulidora, disco puente y taller, si están disponibles.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172033"/>
          <w:sz w:val="21"/>
        </w:rPr>
        <w:t>Capturas de las pantallas principales del sistema actual: pedido, producto, lote, stock, parte de producción, cliente y factura.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172033"/>
          <w:sz w:val="21"/>
        </w:rPr>
        <w:t>Ejemplos de etiquetas físicas y trazabilidad de bloque, tabla, losa, palet, cajón y ubicación.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172033"/>
          <w:sz w:val="21"/>
        </w:rPr>
        <w:t>Una breve lista de responsables por área y de las decisiones que toma cada uno.</w:t>
      </w: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color w:val="1F4D78"/>
                <w:sz w:val="21"/>
              </w:rPr>
              <w:t xml:space="preserve">Criterio práctico: </w:t>
            </w:r>
            <w:r>
              <w:rPr>
                <w:rFonts w:ascii="Arial" w:hAnsi="Arial" w:eastAsia="Arial"/>
                <w:b w:val="0"/>
                <w:color w:val="172033"/>
                <w:sz w:val="21"/>
              </w:rPr>
              <w:t>es preferible recibir documentación real aunque esté incompleta antes que esperar a preparar un paquete perfecto. Los huecos, contradicciones y formatos manuales también ayudan a detectar dónde puede aportar valor la automatización.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 w:eastAsia="Arial"/>
          <w:b/>
          <w:color w:val="2E74B5"/>
          <w:sz w:val="32"/>
        </w:rPr>
        <w:t>Cierre</w:t>
      </w:r>
    </w:p>
    <w:p>
      <w:pPr>
        <w:spacing w:after="120" w:line="264" w:lineRule="auto"/>
      </w:pPr>
      <w:r>
        <w:rPr>
          <w:rFonts w:ascii="Arial" w:hAnsi="Arial" w:eastAsia="Arial"/>
          <w:b w:val="0"/>
          <w:color w:val="172033"/>
          <w:sz w:val="21"/>
        </w:rPr>
        <w:t>Con esta documentación podremos construir un mapa operativo fiable de Pulycort, validar el modelo de datos para Odoo, identificar puntos críticos de trazabilidad y priorizar pequeñas soluciones prácticas antes de abordar integraciones mayores.</w:t>
      </w:r>
    </w:p>
    <w:p>
      <w:pPr>
        <w:spacing w:after="120" w:line="264" w:lineRule="auto"/>
      </w:pPr>
      <w:r>
        <w:rPr>
          <w:rFonts w:ascii="Arial" w:hAnsi="Arial" w:eastAsia="Arial"/>
          <w:b w:val="0"/>
          <w:color w:val="172033"/>
          <w:sz w:val="21"/>
        </w:rPr>
        <w:t>El primer objetivo no es auditar ni juzgar la forma actual de trabajo, sino entenderla con precisión para diseñar mejoras que encajen con la realidad de la empresa.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/>
        <w:b w:val="0"/>
        <w:color w:val="5A6678"/>
        <w:sz w:val="16"/>
      </w:rPr>
      <w:t>Documento de trabajo para mapeo operativo y preparación de integraciones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 w:val="0"/>
        <w:color w:val="5A6678"/>
        <w:sz w:val="17"/>
      </w:rPr>
      <w:t>Pulycort | Solicitud de documentación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