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«Разработка параллельных и распределенных программ»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Царёв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2023 г.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</w:pPr>
      <w:r w:rsidDel="00000000" w:rsidR="00000000" w:rsidRPr="00000000">
        <w:rPr>
          <w:rtl w:val="0"/>
        </w:rPr>
        <w:t xml:space="preserve">Написать программу,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</w:pPr>
      <w:r w:rsidDel="00000000" w:rsidR="00000000" w:rsidRPr="00000000">
        <w:rPr>
          <w:rtl w:val="0"/>
        </w:rPr>
        <w:t xml:space="preserve"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один вариант программы: векторы x и b дублируются в каждом MPI-процессе.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</w:pPr>
      <w:r w:rsidDel="00000000" w:rsidR="00000000" w:rsidRPr="00000000">
        <w:rPr>
          <w:rtl w:val="0"/>
        </w:rPr>
        <w:t xml:space="preserve">Замерить время работы программы при использовании различного числа процессорных ядер: 1, 2, 4, 8, 16. Построить график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Также параметр N разрешено подобрать таким образом, чтобы он нацело делился на на 1,2,4,8 и 16.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mpi4py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MPI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SLESolver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__next_iter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tau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mpi_matrix_dot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tau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__end_measure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(np.linalg.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mpi_matrix_dot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np.linalg.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@classmethod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simple_iteration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(np.ndarray[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vector_b.shape[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matrix_a.shape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N)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__end_measure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epsilon: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actual_iter_measure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last_iter_measure):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tau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__next_iter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tau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last_iter_measure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actual_iter_measure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matrix_dot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mpi_matrix_dot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np.matrix[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(np.ndarray[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vector_x.shape[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matrix_a.shape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N)</w:t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vector_x.shape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vector_b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step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reqs, reqr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step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reqs.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isend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(matrix_a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index: index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step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 vector_x)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dest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reqr.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irecv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reqs[i].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index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step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vector_b[index: index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step]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reqr[i].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vector_b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comm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MPI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COMM_WORLD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worker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Get_rank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worker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_matrix_a, _vector_x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_matrix_a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dest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_matrix_a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7986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_vector_b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mpi_matrix_dot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_res_vector_x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SLESolver.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simple_iteration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_matrix_a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_vector_b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_res_vector_x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comm.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dest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124325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Рисунок 1 − График зависимости времени выполнения программ от количества ядер</w:t>
          </w:r>
        </w:sdtContent>
      </w:sdt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SF7y1ghOY0om/+FrjVuhayRDw==">CgMxLjAaFAoBMBIPCg0IB0IJEgdHdW5nc3VoMghoLmdqZGd4czIJaC4zMGowemxsMgloLjFmb2I5dGU4AHIhMXp3Qm1wd0F5WUJpRjlaLWdyZlVhMTJUNjFaam1fZ0Vo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