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DA" w:rsidRDefault="00BC01A5" w:rsidP="0089036B">
      <w:pPr>
        <w:pStyle w:val="Heading1"/>
        <w:rPr>
          <w:sz w:val="24"/>
          <w:szCs w:val="24"/>
        </w:rPr>
      </w:pPr>
      <w:r>
        <w:t>XYZ</w:t>
      </w:r>
      <w:r w:rsidR="0095792C">
        <w:t xml:space="preserve"> Assignment: Machine Learning Summer 2017 Internship</w:t>
      </w:r>
      <w:bookmarkStart w:id="0" w:name="house-pricing-prediction"/>
      <w:bookmarkEnd w:id="0"/>
      <w:r w:rsidR="0089036B">
        <w:br/>
      </w:r>
      <w:r w:rsidR="0095792C">
        <w:t>House Pricing Prediction</w:t>
      </w:r>
    </w:p>
    <w:p w:rsidR="0046103A" w:rsidRPr="0046103A" w:rsidRDefault="0046103A" w:rsidP="0046103A">
      <w:pPr>
        <w:pStyle w:val="Heading6"/>
        <w:rPr>
          <w:sz w:val="28"/>
          <w:szCs w:val="28"/>
        </w:rPr>
      </w:pPr>
      <w:r w:rsidRPr="0046103A">
        <w:rPr>
          <w:sz w:val="28"/>
          <w:szCs w:val="28"/>
        </w:rPr>
        <w:t>Pre- Processing</w:t>
      </w:r>
    </w:p>
    <w:p w:rsidR="00F657DA" w:rsidRDefault="0095792C" w:rsidP="00457185">
      <w:pPr>
        <w:pStyle w:val="FirstParagraph"/>
        <w:ind w:firstLine="720"/>
      </w:pPr>
      <w:r>
        <w:t xml:space="preserve">This is a report </w:t>
      </w:r>
      <w:r w:rsidR="00500726">
        <w:t>concerning</w:t>
      </w:r>
      <w:r>
        <w:t xml:space="preserve"> the </w:t>
      </w:r>
      <w:r w:rsidR="00BC01A5">
        <w:t>XYZ</w:t>
      </w:r>
      <w:bookmarkStart w:id="1" w:name="_GoBack"/>
      <w:bookmarkEnd w:id="1"/>
      <w:r>
        <w:t xml:space="preserve"> assignment about Machine Learning Summer 2017 Intern position. It is about UK house pricing prediction. Since </w:t>
      </w:r>
      <w:r w:rsidR="005D7F0C">
        <w:t>we</w:t>
      </w:r>
      <w:r>
        <w:t xml:space="preserve"> need to predict the house </w:t>
      </w:r>
      <w:r w:rsidR="005D7F0C">
        <w:t>prices, we</w:t>
      </w:r>
      <w:r w:rsidR="00500726">
        <w:t xml:space="preserve"> cho</w:t>
      </w:r>
      <w:r>
        <w:t xml:space="preserve">se to </w:t>
      </w:r>
      <w:r w:rsidR="005D7F0C">
        <w:t>implement</w:t>
      </w:r>
      <w:r>
        <w:t xml:space="preserve"> a </w:t>
      </w:r>
      <w:r w:rsidR="00457185">
        <w:t>multiple</w:t>
      </w:r>
      <w:r>
        <w:t xml:space="preserve"> linear regression model. However, as the dataset contains only categorical features related to property type,</w:t>
      </w:r>
      <w:r w:rsidR="005D7F0C">
        <w:t xml:space="preserve"> lease duration and location, we</w:t>
      </w:r>
      <w:r>
        <w:t xml:space="preserve"> assume that </w:t>
      </w:r>
      <w:r w:rsidR="005D7F0C">
        <w:t>our</w:t>
      </w:r>
      <w:r>
        <w:t xml:space="preserve"> fit-model won't be able to perform well. Parameters such as location, property type and lease duration are taken into consideration when setting a selling price, but there are also other practical conditions such as No of bedrooms, garage etc</w:t>
      </w:r>
      <w:r w:rsidR="00500726">
        <w:t>.,</w:t>
      </w:r>
      <w:r>
        <w:t xml:space="preserve"> that in this particular dataset aren't provided.</w:t>
      </w:r>
    </w:p>
    <w:p w:rsidR="00F657DA" w:rsidRDefault="00500726" w:rsidP="00457185">
      <w:pPr>
        <w:pStyle w:val="BodyText"/>
        <w:ind w:firstLine="720"/>
      </w:pPr>
      <w:r>
        <w:t xml:space="preserve">To begin with, </w:t>
      </w:r>
      <w:r w:rsidR="005D7F0C">
        <w:t>we</w:t>
      </w:r>
      <w:r w:rsidR="0095792C">
        <w:t xml:space="preserve"> will do some data pre-processing to bring </w:t>
      </w:r>
      <w:r>
        <w:t>the</w:t>
      </w:r>
      <w:r w:rsidR="0095792C">
        <w:t xml:space="preserve"> initial dataset and variables in</w:t>
      </w:r>
      <w:r>
        <w:t xml:space="preserve"> the desirable format. First, </w:t>
      </w:r>
      <w:r w:rsidR="005D7F0C">
        <w:t>we</w:t>
      </w:r>
      <w:r w:rsidR="0095792C">
        <w:t xml:space="preserve"> import only the 4 variables that are of interest ("Price",</w:t>
      </w:r>
      <w:r>
        <w:t xml:space="preserve"> </w:t>
      </w:r>
      <w:r w:rsidR="0095792C">
        <w:t>"</w:t>
      </w:r>
      <w:r w:rsidR="000B7FB7">
        <w:t>Property_type</w:t>
      </w:r>
      <w:r w:rsidR="0095792C">
        <w:t>",</w:t>
      </w:r>
      <w:r>
        <w:t xml:space="preserve"> </w:t>
      </w:r>
      <w:r w:rsidR="0095792C">
        <w:t>"Lease_duration",</w:t>
      </w:r>
      <w:r>
        <w:t xml:space="preserve"> </w:t>
      </w:r>
      <w:r w:rsidR="0095792C">
        <w:t xml:space="preserve">"Town_city"). Then </w:t>
      </w:r>
      <w:r w:rsidR="005D7F0C">
        <w:t>we</w:t>
      </w:r>
      <w:r w:rsidR="0095792C">
        <w:t xml:space="preserve"> set names to the columns and keep just the year value for the "Date" variable. </w:t>
      </w:r>
      <w:r w:rsidR="005D7F0C">
        <w:t>We</w:t>
      </w:r>
      <w:r w:rsidR="0095792C">
        <w:t xml:space="preserve"> chose to create a new dataset, containing only the records of year 2015, as it was impossible to run a 1.6Gb sized dataset (</w:t>
      </w:r>
      <w:r>
        <w:t>PS</w:t>
      </w:r>
      <w:r w:rsidR="0095792C">
        <w:t>: I even used the trial AzureML and couldn't run linear regression algorithm, because of m</w:t>
      </w:r>
      <w:r w:rsidR="005D7F0C">
        <w:t>emory exhaustion). After that, we</w:t>
      </w:r>
      <w:r w:rsidR="0095792C">
        <w:t xml:space="preserve"> delete the column "Date" as </w:t>
      </w:r>
      <w:r>
        <w:t xml:space="preserve">it </w:t>
      </w:r>
      <w:r w:rsidR="0095792C">
        <w:t>is no longer needed.</w:t>
      </w:r>
    </w:p>
    <w:p w:rsidR="000037C3" w:rsidRDefault="0095792C" w:rsidP="00457185">
      <w:pPr>
        <w:pStyle w:val="BodyText"/>
        <w:ind w:firstLine="720"/>
      </w:pPr>
      <w:r>
        <w:t>Furthermore, in ord</w:t>
      </w:r>
      <w:r w:rsidR="005D7F0C">
        <w:t>er to save some training time, we</w:t>
      </w:r>
      <w:r>
        <w:t xml:space="preserve"> decided to recode all the factor variables levels into numeric variables. It's easier, thus faster, for a training algorithm to read and process numeric values than character ones.</w:t>
      </w:r>
      <w:r w:rsidR="00500726">
        <w:t xml:space="preserve"> </w:t>
      </w:r>
      <w:r>
        <w:t>Espec</w:t>
      </w:r>
      <w:r w:rsidR="005D7F0C">
        <w:t>ially, for factor "Town_city", we</w:t>
      </w:r>
      <w:r>
        <w:t xml:space="preserve"> recoded it into 'London, 'Non-London', after spotting that London is by far, the level with the highest frequency, which means the most desirable city to reside</w:t>
      </w:r>
      <w:r w:rsidR="00500726">
        <w:t xml:space="preserve"> (</w:t>
      </w:r>
      <w:r w:rsidR="00500726" w:rsidRPr="005D7F0C"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  <w:t>Table 1</w:t>
      </w:r>
      <w:r w:rsidR="00500726">
        <w:t>)</w:t>
      </w:r>
      <w:r>
        <w:t xml:space="preserve">. </w:t>
      </w:r>
      <w:r w:rsidR="00500726">
        <w:t>Moreover</w:t>
      </w:r>
      <w:r>
        <w:t>, after checking the "Price" distribution by a histogram plot</w:t>
      </w:r>
      <w:r w:rsidR="00500726">
        <w:t xml:space="preserve"> (</w:t>
      </w:r>
      <w:r w:rsidR="00C51C17" w:rsidRPr="005D7F0C"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  <w:t>Figure 1</w:t>
      </w:r>
      <w:r w:rsidR="00500726">
        <w:t>)</w:t>
      </w:r>
      <w:r>
        <w:t xml:space="preserve">, </w:t>
      </w:r>
      <w:r w:rsidR="005D7F0C">
        <w:t>we</w:t>
      </w:r>
      <w:r>
        <w:t xml:space="preserve"> noticed that it is right-skewed, so performed a log-normalization technique</w:t>
      </w:r>
      <w:r w:rsidR="00C51C17">
        <w:t>, then plotted again to check whether the distribution came closer to normal (</w:t>
      </w:r>
      <w:r w:rsidR="00C51C17" w:rsidRPr="005D7F0C"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  <w:t>Figure 2</w:t>
      </w:r>
      <w:r w:rsidR="00C51C17">
        <w:t>)</w:t>
      </w:r>
      <w:r>
        <w:t xml:space="preserve">. Finally, </w:t>
      </w:r>
      <w:r w:rsidR="005D7F0C">
        <w:t>we</w:t>
      </w:r>
      <w:r>
        <w:t xml:space="preserve"> checked for missing values and proceeded to the split training-test bootstrap method. The initial dataset was divided into training and test subsamples by 80% and 20% </w:t>
      </w:r>
      <w:r w:rsidR="0051581F">
        <w:t>amount respectively</w:t>
      </w:r>
      <w:r>
        <w:t>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1762"/>
        <w:gridCol w:w="1440"/>
        <w:gridCol w:w="1753"/>
        <w:gridCol w:w="1986"/>
      </w:tblGrid>
      <w:tr w:rsidR="000037C3" w:rsidTr="00890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0037C3" w:rsidRDefault="000037C3" w:rsidP="000037C3">
            <w:pPr>
              <w:pStyle w:val="BodyText"/>
              <w:jc w:val="center"/>
            </w:pPr>
            <w:r>
              <w:t>LONDON</w:t>
            </w:r>
          </w:p>
        </w:tc>
        <w:tc>
          <w:tcPr>
            <w:tcW w:w="1742" w:type="dxa"/>
          </w:tcPr>
          <w:p w:rsidR="000037C3" w:rsidRDefault="000037C3" w:rsidP="000037C3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MANCHESTER</w:t>
            </w:r>
          </w:p>
        </w:tc>
        <w:tc>
          <w:tcPr>
            <w:tcW w:w="1424" w:type="dxa"/>
          </w:tcPr>
          <w:p w:rsidR="000037C3" w:rsidRDefault="000037C3" w:rsidP="000037C3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BRISTOL</w:t>
            </w:r>
          </w:p>
        </w:tc>
        <w:tc>
          <w:tcPr>
            <w:tcW w:w="1733" w:type="dxa"/>
          </w:tcPr>
          <w:p w:rsidR="000037C3" w:rsidRDefault="000037C3" w:rsidP="000037C3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BIRMINGHAM</w:t>
            </w:r>
          </w:p>
        </w:tc>
        <w:tc>
          <w:tcPr>
            <w:tcW w:w="1964" w:type="dxa"/>
          </w:tcPr>
          <w:p w:rsidR="000037C3" w:rsidRDefault="000037C3" w:rsidP="000037C3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NOTTINGHAM</w:t>
            </w:r>
          </w:p>
        </w:tc>
      </w:tr>
      <w:tr w:rsidR="000037C3" w:rsidTr="00890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0037C3" w:rsidRPr="000037C3" w:rsidRDefault="000037C3" w:rsidP="000037C3">
            <w:pPr>
              <w:pStyle w:val="BodyText"/>
              <w:jc w:val="center"/>
              <w:rPr>
                <w:b w:val="0"/>
              </w:rPr>
            </w:pPr>
            <w:r w:rsidRPr="000037C3">
              <w:rPr>
                <w:b w:val="0"/>
              </w:rPr>
              <w:t>76.496</w:t>
            </w:r>
          </w:p>
        </w:tc>
        <w:tc>
          <w:tcPr>
            <w:tcW w:w="1742" w:type="dxa"/>
          </w:tcPr>
          <w:p w:rsidR="000037C3" w:rsidRDefault="000037C3" w:rsidP="000037C3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16.486</w:t>
            </w:r>
          </w:p>
        </w:tc>
        <w:tc>
          <w:tcPr>
            <w:tcW w:w="1424" w:type="dxa"/>
          </w:tcPr>
          <w:p w:rsidR="000037C3" w:rsidRDefault="000037C3" w:rsidP="000037C3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16317</w:t>
            </w:r>
          </w:p>
        </w:tc>
        <w:tc>
          <w:tcPr>
            <w:tcW w:w="1733" w:type="dxa"/>
          </w:tcPr>
          <w:p w:rsidR="000037C3" w:rsidRDefault="000037C3" w:rsidP="000037C3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14286</w:t>
            </w:r>
          </w:p>
        </w:tc>
        <w:tc>
          <w:tcPr>
            <w:tcW w:w="1964" w:type="dxa"/>
          </w:tcPr>
          <w:p w:rsidR="000037C3" w:rsidRDefault="000037C3" w:rsidP="000037C3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13124</w:t>
            </w:r>
          </w:p>
        </w:tc>
      </w:tr>
      <w:tr w:rsidR="000037C3" w:rsidTr="0089036B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shd w:val="clear" w:color="auto" w:fill="4F81BD" w:themeFill="accent1"/>
          </w:tcPr>
          <w:p w:rsidR="000037C3" w:rsidRDefault="000037C3" w:rsidP="000037C3">
            <w:pPr>
              <w:pStyle w:val="BodyText"/>
              <w:jc w:val="center"/>
            </w:pPr>
            <w:r w:rsidRPr="000037C3">
              <w:rPr>
                <w:color w:val="FFFFFF" w:themeColor="background1"/>
              </w:rPr>
              <w:t>LEEDS</w:t>
            </w:r>
          </w:p>
        </w:tc>
        <w:tc>
          <w:tcPr>
            <w:tcW w:w="1742" w:type="dxa"/>
            <w:shd w:val="clear" w:color="auto" w:fill="4F81BD" w:themeFill="accent1"/>
          </w:tcPr>
          <w:p w:rsidR="000037C3" w:rsidRPr="000037C3" w:rsidRDefault="000037C3" w:rsidP="000037C3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37C3">
              <w:rPr>
                <w:b/>
                <w:color w:val="FFFFFF" w:themeColor="background1"/>
              </w:rPr>
              <w:t>LIVERPOOL</w:t>
            </w:r>
          </w:p>
        </w:tc>
        <w:tc>
          <w:tcPr>
            <w:tcW w:w="1424" w:type="dxa"/>
            <w:shd w:val="clear" w:color="auto" w:fill="4F81BD" w:themeFill="accent1"/>
          </w:tcPr>
          <w:p w:rsidR="000037C3" w:rsidRPr="000037C3" w:rsidRDefault="000037C3" w:rsidP="000037C3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37C3">
              <w:rPr>
                <w:b/>
                <w:color w:val="FFFFFF" w:themeColor="background1"/>
              </w:rPr>
              <w:t>SHEFFIELD</w:t>
            </w:r>
          </w:p>
        </w:tc>
        <w:tc>
          <w:tcPr>
            <w:tcW w:w="1733" w:type="dxa"/>
            <w:shd w:val="clear" w:color="auto" w:fill="4F81BD" w:themeFill="accent1"/>
          </w:tcPr>
          <w:p w:rsidR="000037C3" w:rsidRDefault="000037C3" w:rsidP="000037C3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7C3">
              <w:rPr>
                <w:b/>
                <w:color w:val="FFFFFF" w:themeColor="background1"/>
              </w:rPr>
              <w:t>LEICESTER</w:t>
            </w:r>
          </w:p>
        </w:tc>
        <w:tc>
          <w:tcPr>
            <w:tcW w:w="1964" w:type="dxa"/>
            <w:shd w:val="clear" w:color="auto" w:fill="4F81BD" w:themeFill="accent1"/>
          </w:tcPr>
          <w:p w:rsidR="000037C3" w:rsidRDefault="000037C3" w:rsidP="000037C3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7C3">
              <w:rPr>
                <w:b/>
                <w:color w:val="FFFFFF" w:themeColor="background1"/>
              </w:rPr>
              <w:t>SOUTHAMPTON</w:t>
            </w:r>
          </w:p>
        </w:tc>
      </w:tr>
      <w:tr w:rsidR="000037C3" w:rsidTr="00890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0037C3" w:rsidRPr="000037C3" w:rsidRDefault="000037C3" w:rsidP="000037C3">
            <w:pPr>
              <w:pStyle w:val="BodyText"/>
              <w:jc w:val="center"/>
              <w:rPr>
                <w:b w:val="0"/>
              </w:rPr>
            </w:pPr>
            <w:r w:rsidRPr="000037C3">
              <w:rPr>
                <w:b w:val="0"/>
              </w:rPr>
              <w:t>11202</w:t>
            </w:r>
          </w:p>
        </w:tc>
        <w:tc>
          <w:tcPr>
            <w:tcW w:w="1742" w:type="dxa"/>
          </w:tcPr>
          <w:p w:rsidR="000037C3" w:rsidRDefault="000037C3" w:rsidP="000037C3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10064</w:t>
            </w:r>
          </w:p>
        </w:tc>
        <w:tc>
          <w:tcPr>
            <w:tcW w:w="1424" w:type="dxa"/>
          </w:tcPr>
          <w:p w:rsidR="000037C3" w:rsidRDefault="000037C3" w:rsidP="000037C3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9490</w:t>
            </w:r>
          </w:p>
        </w:tc>
        <w:tc>
          <w:tcPr>
            <w:tcW w:w="1733" w:type="dxa"/>
          </w:tcPr>
          <w:p w:rsidR="000037C3" w:rsidRDefault="000037C3" w:rsidP="000037C3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8934</w:t>
            </w:r>
          </w:p>
        </w:tc>
        <w:tc>
          <w:tcPr>
            <w:tcW w:w="1964" w:type="dxa"/>
          </w:tcPr>
          <w:p w:rsidR="000037C3" w:rsidRDefault="000037C3" w:rsidP="000037C3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8091</w:t>
            </w:r>
          </w:p>
        </w:tc>
      </w:tr>
    </w:tbl>
    <w:p w:rsidR="0051581F" w:rsidRPr="000B7FB7" w:rsidRDefault="000037C3" w:rsidP="0089036B">
      <w:pPr>
        <w:pStyle w:val="BodyText"/>
        <w:ind w:left="2160" w:firstLine="720"/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</w:pPr>
      <w:r w:rsidRPr="000B7FB7"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  <w:t>Table 1.</w:t>
      </w:r>
      <w:r w:rsidR="00C51C17" w:rsidRPr="000B7FB7"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  <w:t xml:space="preserve"> </w:t>
      </w:r>
      <w:r w:rsidRPr="000B7FB7"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  <w:t xml:space="preserve"> Town-City Frequency Table</w:t>
      </w:r>
    </w:p>
    <w:p w:rsidR="0089036B" w:rsidRDefault="0089036B" w:rsidP="0040302A">
      <w:pPr>
        <w:pStyle w:val="FirstParagraph"/>
        <w:ind w:left="3119" w:hanging="2399"/>
        <w:rPr>
          <w:i/>
          <w:sz w:val="22"/>
          <w:szCs w:val="22"/>
        </w:rPr>
      </w:pPr>
    </w:p>
    <w:p w:rsidR="0089036B" w:rsidRDefault="0089036B" w:rsidP="0040302A">
      <w:pPr>
        <w:pStyle w:val="FirstParagraph"/>
        <w:ind w:left="3119" w:hanging="2399"/>
        <w:rPr>
          <w:i/>
          <w:sz w:val="22"/>
          <w:szCs w:val="22"/>
        </w:rPr>
      </w:pPr>
    </w:p>
    <w:p w:rsidR="0089036B" w:rsidRDefault="0089036B" w:rsidP="0040302A">
      <w:pPr>
        <w:pStyle w:val="FirstParagraph"/>
        <w:ind w:left="3119" w:hanging="2399"/>
        <w:rPr>
          <w:i/>
          <w:sz w:val="22"/>
          <w:szCs w:val="22"/>
        </w:rPr>
      </w:pPr>
    </w:p>
    <w:p w:rsidR="0089036B" w:rsidRDefault="0089036B" w:rsidP="0040302A">
      <w:pPr>
        <w:pStyle w:val="FirstParagraph"/>
        <w:ind w:left="3119" w:hanging="2399"/>
        <w:rPr>
          <w:i/>
          <w:sz w:val="22"/>
          <w:szCs w:val="22"/>
        </w:rPr>
      </w:pPr>
    </w:p>
    <w:p w:rsidR="00C51C17" w:rsidRPr="000B7FB7" w:rsidRDefault="0095792C" w:rsidP="0040302A">
      <w:pPr>
        <w:pStyle w:val="FirstParagraph"/>
        <w:ind w:left="3119" w:hanging="2399"/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</w:pPr>
      <w:r>
        <w:rPr>
          <w:noProof/>
          <w:lang w:val="el-GR" w:eastAsia="el-GR"/>
        </w:rPr>
        <w:drawing>
          <wp:inline distT="0" distB="0" distL="0" distR="0">
            <wp:extent cx="4781550" cy="2381250"/>
            <wp:effectExtent l="133350" t="133350" r="152400" b="17145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azon_Rm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8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51C17" w:rsidRPr="000B7FB7"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  <w:t>Figure 1.  Histogram of Price variable</w:t>
      </w:r>
    </w:p>
    <w:p w:rsidR="00C51C17" w:rsidRPr="00C51C17" w:rsidRDefault="00C51C17" w:rsidP="00C51C17">
      <w:pPr>
        <w:pStyle w:val="BodyText"/>
      </w:pPr>
    </w:p>
    <w:p w:rsidR="0089036B" w:rsidRDefault="0089036B" w:rsidP="0040302A">
      <w:pPr>
        <w:pStyle w:val="BodyText"/>
        <w:ind w:left="2410" w:hanging="1701"/>
        <w:rPr>
          <w:i/>
          <w:sz w:val="22"/>
          <w:szCs w:val="22"/>
        </w:rPr>
      </w:pPr>
    </w:p>
    <w:p w:rsidR="0089036B" w:rsidRDefault="0089036B" w:rsidP="0040302A">
      <w:pPr>
        <w:pStyle w:val="BodyText"/>
        <w:ind w:left="2410" w:hanging="1701"/>
        <w:rPr>
          <w:i/>
          <w:sz w:val="22"/>
          <w:szCs w:val="22"/>
        </w:rPr>
      </w:pPr>
    </w:p>
    <w:p w:rsidR="0089036B" w:rsidRDefault="0089036B" w:rsidP="0040302A">
      <w:pPr>
        <w:pStyle w:val="BodyText"/>
        <w:ind w:left="2410" w:hanging="1701"/>
        <w:rPr>
          <w:i/>
          <w:sz w:val="22"/>
          <w:szCs w:val="22"/>
        </w:rPr>
      </w:pPr>
    </w:p>
    <w:p w:rsidR="00C51C17" w:rsidRPr="000B7FB7" w:rsidRDefault="0095792C" w:rsidP="0040302A">
      <w:pPr>
        <w:pStyle w:val="BodyText"/>
        <w:ind w:left="2410" w:hanging="1701"/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</w:pPr>
      <w:r>
        <w:rPr>
          <w:noProof/>
          <w:lang w:val="el-GR" w:eastAsia="el-GR"/>
        </w:rPr>
        <w:drawing>
          <wp:inline distT="0" distB="0" distL="0" distR="0">
            <wp:extent cx="4791075" cy="2324100"/>
            <wp:effectExtent l="133350" t="114300" r="123825" b="17145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azon_Rm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610" cy="2324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51C17" w:rsidRPr="000B7FB7"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  <w:t>Figure 2.  Histogram of Price variable after log-normalization</w:t>
      </w:r>
    </w:p>
    <w:p w:rsidR="00F657DA" w:rsidRDefault="00F657DA">
      <w:pPr>
        <w:pStyle w:val="FirstParagraph"/>
      </w:pPr>
    </w:p>
    <w:p w:rsidR="008166CD" w:rsidRDefault="008166CD" w:rsidP="008166CD">
      <w:pPr>
        <w:pStyle w:val="BodyText"/>
      </w:pPr>
    </w:p>
    <w:p w:rsidR="0046103A" w:rsidRDefault="0046103A" w:rsidP="0046103A">
      <w:pPr>
        <w:pStyle w:val="Heading6"/>
        <w:rPr>
          <w:sz w:val="28"/>
          <w:szCs w:val="28"/>
        </w:rPr>
      </w:pPr>
      <w:r>
        <w:rPr>
          <w:sz w:val="28"/>
          <w:szCs w:val="28"/>
        </w:rPr>
        <w:lastRenderedPageBreak/>
        <w:t>Modeling</w:t>
      </w:r>
    </w:p>
    <w:p w:rsidR="0046103A" w:rsidRPr="0046103A" w:rsidRDefault="0046103A" w:rsidP="0046103A">
      <w:pPr>
        <w:pStyle w:val="Heading6"/>
      </w:pPr>
      <w:r w:rsidRPr="0046103A">
        <w:t>Multiple Linear Regression</w:t>
      </w:r>
    </w:p>
    <w:tbl>
      <w:tblPr>
        <w:tblStyle w:val="MediumList2-Accent1"/>
        <w:tblpPr w:leftFromText="180" w:rightFromText="180" w:vertAnchor="text" w:horzAnchor="page" w:tblpX="2328" w:tblpY="518"/>
        <w:tblW w:w="3810" w:type="pct"/>
        <w:tblLook w:val="04A0" w:firstRow="1" w:lastRow="0" w:firstColumn="1" w:lastColumn="0" w:noHBand="0" w:noVBand="1"/>
      </w:tblPr>
      <w:tblGrid>
        <w:gridCol w:w="2812"/>
        <w:gridCol w:w="1991"/>
        <w:gridCol w:w="1765"/>
      </w:tblGrid>
      <w:tr w:rsidR="00906FB5" w:rsidRPr="00906FB5" w:rsidTr="00906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0" w:type="pct"/>
            <w:noWrap/>
          </w:tcPr>
          <w:p w:rsidR="00906FB5" w:rsidRPr="00906FB5" w:rsidRDefault="00906FB5" w:rsidP="00906FB5">
            <w:pPr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906FB5">
              <w:rPr>
                <w:rFonts w:asciiTheme="minorHAnsi" w:eastAsiaTheme="minorEastAsia" w:hAnsiTheme="minorHAnsi" w:cstheme="minorBidi"/>
                <w:b/>
                <w:color w:val="auto"/>
              </w:rPr>
              <w:t>Coefficients</w:t>
            </w:r>
          </w:p>
        </w:tc>
        <w:tc>
          <w:tcPr>
            <w:tcW w:w="1516" w:type="pct"/>
          </w:tcPr>
          <w:p w:rsidR="00906FB5" w:rsidRPr="00906FB5" w:rsidRDefault="00906FB5" w:rsidP="0090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344" w:type="pct"/>
          </w:tcPr>
          <w:p w:rsidR="00906FB5" w:rsidRPr="00906FB5" w:rsidRDefault="00906FB5" w:rsidP="0090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06FB5" w:rsidRPr="00906FB5" w:rsidTr="0090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pct"/>
            <w:noWrap/>
          </w:tcPr>
          <w:p w:rsidR="00906FB5" w:rsidRPr="00906FB5" w:rsidRDefault="00906FB5" w:rsidP="00906FB5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</w:p>
        </w:tc>
        <w:tc>
          <w:tcPr>
            <w:tcW w:w="1516" w:type="pct"/>
          </w:tcPr>
          <w:p w:rsidR="00906FB5" w:rsidRPr="00906FB5" w:rsidRDefault="00906FB5" w:rsidP="0090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b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/>
                <w:b/>
                <w:sz w:val="24"/>
                <w:szCs w:val="24"/>
              </w:rPr>
              <w:t>Estimate</w:t>
            </w:r>
          </w:p>
        </w:tc>
        <w:tc>
          <w:tcPr>
            <w:tcW w:w="1344" w:type="pct"/>
          </w:tcPr>
          <w:p w:rsidR="00906FB5" w:rsidRPr="00906FB5" w:rsidRDefault="00906FB5" w:rsidP="0090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b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/>
                <w:b/>
                <w:sz w:val="24"/>
                <w:szCs w:val="24"/>
              </w:rPr>
              <w:t>Std.</w:t>
            </w:r>
            <w:r w:rsidR="003305BF">
              <w:rPr>
                <w:rFonts w:asciiTheme="minorHAnsi" w:eastAsiaTheme="minorEastAsia" w:hAnsiTheme="minorHAnsi"/>
                <w:b/>
                <w:sz w:val="24"/>
                <w:szCs w:val="24"/>
              </w:rPr>
              <w:t xml:space="preserve"> </w:t>
            </w:r>
            <w:r w:rsidRPr="00906FB5">
              <w:rPr>
                <w:rFonts w:asciiTheme="minorHAnsi" w:eastAsiaTheme="minorEastAsia" w:hAnsiTheme="minorHAnsi"/>
                <w:b/>
                <w:sz w:val="24"/>
                <w:szCs w:val="24"/>
              </w:rPr>
              <w:t>Error</w:t>
            </w:r>
          </w:p>
        </w:tc>
      </w:tr>
      <w:tr w:rsidR="00906FB5" w:rsidRPr="00906FB5" w:rsidTr="00906FB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pct"/>
            <w:noWrap/>
          </w:tcPr>
          <w:p w:rsidR="00906FB5" w:rsidRPr="00906FB5" w:rsidRDefault="00906FB5" w:rsidP="00906FB5">
            <w:pPr>
              <w:rPr>
                <w:rFonts w:asciiTheme="minorHAnsi" w:eastAsiaTheme="minorEastAsia" w:hAnsiTheme="minorHAnsi"/>
                <w:b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/>
                <w:b/>
                <w:sz w:val="24"/>
                <w:szCs w:val="24"/>
              </w:rPr>
              <w:t>(Intercept)</w:t>
            </w:r>
          </w:p>
        </w:tc>
        <w:tc>
          <w:tcPr>
            <w:tcW w:w="1516" w:type="pct"/>
          </w:tcPr>
          <w:p w:rsidR="00906FB5" w:rsidRPr="00906FB5" w:rsidRDefault="00906FB5" w:rsidP="0090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/>
                <w:sz w:val="24"/>
                <w:szCs w:val="24"/>
              </w:rPr>
              <w:t>12.342224</w:t>
            </w:r>
          </w:p>
        </w:tc>
        <w:tc>
          <w:tcPr>
            <w:tcW w:w="1344" w:type="pct"/>
          </w:tcPr>
          <w:p w:rsidR="00906FB5" w:rsidRPr="00906FB5" w:rsidRDefault="00906FB5" w:rsidP="0090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/>
                <w:sz w:val="24"/>
                <w:szCs w:val="24"/>
              </w:rPr>
              <w:t>0.003038</w:t>
            </w:r>
          </w:p>
        </w:tc>
      </w:tr>
      <w:tr w:rsidR="00906FB5" w:rsidRPr="00906FB5" w:rsidTr="0090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pct"/>
            <w:noWrap/>
          </w:tcPr>
          <w:p w:rsidR="00906FB5" w:rsidRPr="00906FB5" w:rsidRDefault="00906FB5" w:rsidP="00906FB5">
            <w:p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Property_type2</w:t>
            </w:r>
          </w:p>
        </w:tc>
        <w:tc>
          <w:tcPr>
            <w:tcW w:w="1516" w:type="pct"/>
          </w:tcPr>
          <w:p w:rsidR="00906FB5" w:rsidRPr="00906FB5" w:rsidRDefault="00906FB5" w:rsidP="0090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-0.436577</w:t>
            </w:r>
          </w:p>
        </w:tc>
        <w:tc>
          <w:tcPr>
            <w:tcW w:w="1344" w:type="pct"/>
          </w:tcPr>
          <w:p w:rsidR="00906FB5" w:rsidRPr="00906FB5" w:rsidRDefault="00906FB5" w:rsidP="0090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0.003405</w:t>
            </w:r>
          </w:p>
        </w:tc>
      </w:tr>
      <w:tr w:rsidR="00906FB5" w:rsidRPr="00906FB5" w:rsidTr="00906FB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pct"/>
            <w:noWrap/>
          </w:tcPr>
          <w:p w:rsidR="00906FB5" w:rsidRPr="00906FB5" w:rsidRDefault="00906FB5" w:rsidP="00906FB5">
            <w:p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Property_type3</w:t>
            </w:r>
          </w:p>
        </w:tc>
        <w:tc>
          <w:tcPr>
            <w:tcW w:w="1516" w:type="pct"/>
          </w:tcPr>
          <w:p w:rsidR="00906FB5" w:rsidRPr="00906FB5" w:rsidRDefault="00906FB5" w:rsidP="0090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0.199128</w:t>
            </w:r>
          </w:p>
        </w:tc>
        <w:tc>
          <w:tcPr>
            <w:tcW w:w="1344" w:type="pct"/>
          </w:tcPr>
          <w:p w:rsidR="00906FB5" w:rsidRPr="00906FB5" w:rsidRDefault="00906FB5" w:rsidP="0090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0.005213</w:t>
            </w:r>
          </w:p>
        </w:tc>
      </w:tr>
      <w:tr w:rsidR="00906FB5" w:rsidRPr="00906FB5" w:rsidTr="0090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pct"/>
            <w:noWrap/>
          </w:tcPr>
          <w:p w:rsidR="00906FB5" w:rsidRPr="00906FB5" w:rsidRDefault="00906FB5" w:rsidP="00906FB5">
            <w:p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Property_type4</w:t>
            </w:r>
          </w:p>
        </w:tc>
        <w:tc>
          <w:tcPr>
            <w:tcW w:w="1516" w:type="pct"/>
          </w:tcPr>
          <w:p w:rsidR="00906FB5" w:rsidRPr="00906FB5" w:rsidRDefault="00906FB5" w:rsidP="0090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-0.487585</w:t>
            </w:r>
          </w:p>
        </w:tc>
        <w:tc>
          <w:tcPr>
            <w:tcW w:w="1344" w:type="pct"/>
          </w:tcPr>
          <w:p w:rsidR="00906FB5" w:rsidRPr="00906FB5" w:rsidRDefault="00906FB5" w:rsidP="0090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0.001902</w:t>
            </w:r>
          </w:p>
        </w:tc>
      </w:tr>
      <w:tr w:rsidR="00906FB5" w:rsidRPr="00906FB5" w:rsidTr="00906FB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pct"/>
            <w:noWrap/>
          </w:tcPr>
          <w:p w:rsidR="00906FB5" w:rsidRPr="00906FB5" w:rsidRDefault="00906FB5" w:rsidP="00906FB5">
            <w:p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Property_type5</w:t>
            </w:r>
          </w:p>
        </w:tc>
        <w:tc>
          <w:tcPr>
            <w:tcW w:w="1516" w:type="pct"/>
          </w:tcPr>
          <w:p w:rsidR="00906FB5" w:rsidRPr="00906FB5" w:rsidRDefault="00906FB5" w:rsidP="0090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-0.666568</w:t>
            </w:r>
          </w:p>
        </w:tc>
        <w:tc>
          <w:tcPr>
            <w:tcW w:w="1344" w:type="pct"/>
          </w:tcPr>
          <w:p w:rsidR="00906FB5" w:rsidRPr="00906FB5" w:rsidRDefault="00906FB5" w:rsidP="0090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0.001846</w:t>
            </w:r>
          </w:p>
        </w:tc>
      </w:tr>
      <w:tr w:rsidR="00906FB5" w:rsidRPr="00906FB5" w:rsidTr="0090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pct"/>
            <w:noWrap/>
          </w:tcPr>
          <w:p w:rsidR="00906FB5" w:rsidRPr="00906FB5" w:rsidRDefault="00906FB5" w:rsidP="00906FB5">
            <w:p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Lease_duration1</w:t>
            </w:r>
          </w:p>
        </w:tc>
        <w:tc>
          <w:tcPr>
            <w:tcW w:w="1516" w:type="pct"/>
          </w:tcPr>
          <w:p w:rsidR="00906FB5" w:rsidRPr="00906FB5" w:rsidRDefault="00906FB5" w:rsidP="0090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0.310084</w:t>
            </w:r>
          </w:p>
        </w:tc>
        <w:tc>
          <w:tcPr>
            <w:tcW w:w="1344" w:type="pct"/>
          </w:tcPr>
          <w:p w:rsidR="00906FB5" w:rsidRPr="00906FB5" w:rsidRDefault="00906FB5" w:rsidP="0090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0.002834</w:t>
            </w:r>
          </w:p>
        </w:tc>
      </w:tr>
      <w:tr w:rsidR="00906FB5" w:rsidRPr="00906FB5" w:rsidTr="00906FB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pct"/>
            <w:noWrap/>
          </w:tcPr>
          <w:p w:rsidR="00906FB5" w:rsidRPr="00906FB5" w:rsidRDefault="00906FB5" w:rsidP="00906FB5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/>
                <w:sz w:val="24"/>
                <w:szCs w:val="24"/>
              </w:rPr>
              <w:t>Town_city1</w:t>
            </w:r>
          </w:p>
        </w:tc>
        <w:tc>
          <w:tcPr>
            <w:tcW w:w="1516" w:type="pct"/>
          </w:tcPr>
          <w:p w:rsidR="00906FB5" w:rsidRPr="00906FB5" w:rsidRDefault="00906FB5" w:rsidP="0090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/>
                <w:sz w:val="24"/>
                <w:szCs w:val="24"/>
              </w:rPr>
              <w:t>1.162051</w:t>
            </w:r>
          </w:p>
        </w:tc>
        <w:tc>
          <w:tcPr>
            <w:tcW w:w="1344" w:type="pct"/>
          </w:tcPr>
          <w:p w:rsidR="00906FB5" w:rsidRPr="00906FB5" w:rsidRDefault="00906FB5" w:rsidP="0090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906FB5">
              <w:rPr>
                <w:rFonts w:asciiTheme="minorHAnsi" w:eastAsiaTheme="minorEastAsia" w:hAnsiTheme="minorHAnsi"/>
                <w:sz w:val="24"/>
                <w:szCs w:val="24"/>
              </w:rPr>
              <w:t>0.002663</w:t>
            </w:r>
          </w:p>
        </w:tc>
      </w:tr>
    </w:tbl>
    <w:p w:rsidR="002465C1" w:rsidRDefault="0040302A" w:rsidP="0040302A">
      <w:pPr>
        <w:pStyle w:val="Author"/>
      </w:pPr>
      <w:r>
        <w:softHyphen/>
      </w:r>
      <w:r w:rsidR="0095792C">
        <w:br/>
      </w:r>
      <w:r w:rsidR="0095792C">
        <w:br/>
      </w:r>
    </w:p>
    <w:p w:rsidR="00F657DA" w:rsidRDefault="00F657DA" w:rsidP="0040302A">
      <w:pPr>
        <w:pStyle w:val="Author"/>
      </w:pPr>
    </w:p>
    <w:p w:rsidR="00906FB5" w:rsidRDefault="00906FB5">
      <w:pPr>
        <w:pStyle w:val="FirstParagraph"/>
        <w:rPr>
          <w:noProof/>
          <w:lang w:val="el-GR" w:eastAsia="el-GR"/>
        </w:rPr>
      </w:pPr>
    </w:p>
    <w:p w:rsidR="00906FB5" w:rsidRDefault="00906FB5" w:rsidP="00906FB5">
      <w:pPr>
        <w:pStyle w:val="BodyText"/>
        <w:rPr>
          <w:lang w:val="el-GR" w:eastAsia="el-GR"/>
        </w:rPr>
      </w:pPr>
    </w:p>
    <w:p w:rsidR="00906FB5" w:rsidRDefault="00906FB5" w:rsidP="00906FB5">
      <w:pPr>
        <w:pStyle w:val="BodyText"/>
        <w:rPr>
          <w:lang w:val="el-GR" w:eastAsia="el-GR"/>
        </w:rPr>
      </w:pPr>
    </w:p>
    <w:p w:rsidR="00906FB5" w:rsidRDefault="00906FB5" w:rsidP="00906FB5">
      <w:pPr>
        <w:pStyle w:val="BodyText"/>
        <w:rPr>
          <w:lang w:val="el-GR" w:eastAsia="el-GR"/>
        </w:rPr>
      </w:pPr>
    </w:p>
    <w:p w:rsidR="00906FB5" w:rsidRDefault="00906FB5" w:rsidP="00906FB5">
      <w:pPr>
        <w:pStyle w:val="BodyText"/>
        <w:rPr>
          <w:lang w:val="el-GR" w:eastAsia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06FB5" w:rsidTr="00906FB5">
        <w:tc>
          <w:tcPr>
            <w:tcW w:w="8630" w:type="dxa"/>
            <w:shd w:val="clear" w:color="auto" w:fill="C6D9F1" w:themeFill="text2" w:themeFillTint="33"/>
          </w:tcPr>
          <w:p w:rsidR="00906FB5" w:rsidRDefault="00906FB5" w:rsidP="00906FB5">
            <w:pPr>
              <w:pStyle w:val="BodyText"/>
              <w:rPr>
                <w:lang w:eastAsia="el-GR"/>
              </w:rPr>
            </w:pPr>
            <w:r w:rsidRPr="00906FB5">
              <w:rPr>
                <w:b/>
                <w:lang w:eastAsia="el-GR"/>
              </w:rPr>
              <w:t>R-Squared</w:t>
            </w:r>
            <w:r>
              <w:rPr>
                <w:lang w:eastAsia="el-GR"/>
              </w:rPr>
              <w:t xml:space="preserve">: </w:t>
            </w:r>
            <w:r w:rsidRPr="00906FB5">
              <w:rPr>
                <w:lang w:eastAsia="el-GR"/>
              </w:rPr>
              <w:t>0.2984</w:t>
            </w:r>
          </w:p>
        </w:tc>
      </w:tr>
    </w:tbl>
    <w:p w:rsidR="0089036B" w:rsidRDefault="0089036B" w:rsidP="0089036B">
      <w:pPr>
        <w:pStyle w:val="BodyText"/>
        <w:ind w:firstLine="720"/>
        <w:rPr>
          <w:lang w:eastAsia="el-GR"/>
        </w:rPr>
      </w:pPr>
    </w:p>
    <w:p w:rsidR="00906FB5" w:rsidRDefault="005D7F0C" w:rsidP="0089036B">
      <w:pPr>
        <w:pStyle w:val="BodyText"/>
        <w:ind w:firstLine="720"/>
        <w:rPr>
          <w:lang w:eastAsia="el-GR"/>
        </w:rPr>
      </w:pPr>
      <w:r>
        <w:rPr>
          <w:lang w:eastAsia="el-GR"/>
        </w:rPr>
        <w:t>At a first point of view, we</w:t>
      </w:r>
      <w:r w:rsidR="00906FB5">
        <w:rPr>
          <w:lang w:eastAsia="el-GR"/>
        </w:rPr>
        <w:t xml:space="preserve"> conclude that our model is of low performance as the R-squared = 0.2984 is really low. </w:t>
      </w:r>
    </w:p>
    <w:p w:rsidR="0089036B" w:rsidRDefault="00906FB5" w:rsidP="0089036B">
      <w:pPr>
        <w:pStyle w:val="BodyText"/>
        <w:ind w:firstLine="720"/>
        <w:rPr>
          <w:lang w:eastAsia="el-GR"/>
        </w:rPr>
      </w:pPr>
      <w:r w:rsidRPr="003305BF">
        <w:rPr>
          <w:lang w:eastAsia="el-GR"/>
        </w:rPr>
        <w:t xml:space="preserve">From this output, </w:t>
      </w:r>
      <w:r w:rsidR="005D7F0C">
        <w:rPr>
          <w:lang w:eastAsia="el-GR"/>
        </w:rPr>
        <w:t>we</w:t>
      </w:r>
      <w:r w:rsidRPr="003305BF">
        <w:rPr>
          <w:lang w:eastAsia="el-GR"/>
        </w:rPr>
        <w:t xml:space="preserve"> </w:t>
      </w:r>
      <w:r w:rsidR="0089036B">
        <w:rPr>
          <w:lang w:eastAsia="el-GR"/>
        </w:rPr>
        <w:t>can</w:t>
      </w:r>
      <w:r w:rsidRPr="003305BF">
        <w:rPr>
          <w:lang w:eastAsia="el-GR"/>
        </w:rPr>
        <w:t xml:space="preserve"> det</w:t>
      </w:r>
      <w:r w:rsidR="003305BF">
        <w:rPr>
          <w:lang w:eastAsia="el-GR"/>
        </w:rPr>
        <w:t>ermine that the intercept is 12.34</w:t>
      </w:r>
      <w:r w:rsidRPr="003305BF">
        <w:rPr>
          <w:lang w:eastAsia="el-GR"/>
        </w:rPr>
        <w:t xml:space="preserve"> and </w:t>
      </w:r>
      <w:r w:rsidR="003305BF">
        <w:rPr>
          <w:lang w:eastAsia="el-GR"/>
        </w:rPr>
        <w:t xml:space="preserve">also </w:t>
      </w:r>
      <w:r w:rsidRPr="003305BF">
        <w:rPr>
          <w:lang w:eastAsia="el-GR"/>
        </w:rPr>
        <w:t>the coefficient</w:t>
      </w:r>
      <w:r w:rsidR="003305BF">
        <w:rPr>
          <w:lang w:eastAsia="el-GR"/>
        </w:rPr>
        <w:t>s</w:t>
      </w:r>
      <w:r w:rsidRPr="003305BF">
        <w:rPr>
          <w:lang w:eastAsia="el-GR"/>
        </w:rPr>
        <w:t xml:space="preserve"> for the </w:t>
      </w:r>
      <w:r w:rsidR="003305BF">
        <w:rPr>
          <w:lang w:eastAsia="el-GR"/>
        </w:rPr>
        <w:t>Flats/Maisonettes (</w:t>
      </w:r>
      <w:r w:rsidR="003305BF" w:rsidRPr="00906FB5">
        <w:rPr>
          <w:rFonts w:eastAsiaTheme="minorEastAsia"/>
        </w:rPr>
        <w:t>Property_type2</w:t>
      </w:r>
      <w:r w:rsidR="003305BF">
        <w:rPr>
          <w:rFonts w:eastAsiaTheme="minorEastAsia"/>
        </w:rPr>
        <w:t xml:space="preserve">), Other </w:t>
      </w:r>
      <w:r w:rsidR="003305BF">
        <w:rPr>
          <w:lang w:eastAsia="el-GR"/>
        </w:rPr>
        <w:t>(</w:t>
      </w:r>
      <w:r w:rsidR="003305BF">
        <w:rPr>
          <w:rFonts w:eastAsiaTheme="minorEastAsia"/>
        </w:rPr>
        <w:t xml:space="preserve">Property_type3), Semi-Detached </w:t>
      </w:r>
      <w:r w:rsidR="003305BF">
        <w:rPr>
          <w:lang w:eastAsia="el-GR"/>
        </w:rPr>
        <w:t>(</w:t>
      </w:r>
      <w:r w:rsidR="003305BF">
        <w:rPr>
          <w:rFonts w:eastAsiaTheme="minorEastAsia"/>
        </w:rPr>
        <w:t>Property_type4</w:t>
      </w:r>
      <w:r w:rsidR="00B363BD">
        <w:rPr>
          <w:rFonts w:eastAsiaTheme="minorEastAsia"/>
        </w:rPr>
        <w:t>), Terraced</w:t>
      </w:r>
      <w:r w:rsidR="003305BF">
        <w:rPr>
          <w:rFonts w:eastAsiaTheme="minorEastAsia"/>
        </w:rPr>
        <w:t xml:space="preserve"> </w:t>
      </w:r>
      <w:r w:rsidR="003305BF">
        <w:rPr>
          <w:lang w:eastAsia="el-GR"/>
        </w:rPr>
        <w:t>(</w:t>
      </w:r>
      <w:r w:rsidR="003305BF">
        <w:rPr>
          <w:rFonts w:eastAsiaTheme="minorEastAsia"/>
        </w:rPr>
        <w:t>Property_type5)</w:t>
      </w:r>
      <w:r w:rsidR="0089036B">
        <w:rPr>
          <w:rFonts w:eastAsiaTheme="minorEastAsia"/>
        </w:rPr>
        <w:t>,</w:t>
      </w:r>
      <w:r w:rsidR="0089036B">
        <w:rPr>
          <w:rFonts w:eastAsiaTheme="minorEastAsia"/>
        </w:rPr>
        <w:br/>
        <w:t>F</w:t>
      </w:r>
      <w:r w:rsidR="00B363BD">
        <w:rPr>
          <w:rFonts w:eastAsiaTheme="minorEastAsia"/>
        </w:rPr>
        <w:t>reehold</w:t>
      </w:r>
      <w:r w:rsidR="003305BF">
        <w:rPr>
          <w:rFonts w:eastAsiaTheme="minorEastAsia"/>
        </w:rPr>
        <w:t>(Lease_duration1), London (Town_city1) are</w:t>
      </w:r>
      <w:r w:rsidRPr="003305BF">
        <w:rPr>
          <w:lang w:eastAsia="el-GR"/>
        </w:rPr>
        <w:t xml:space="preserve"> </w:t>
      </w:r>
      <w:r w:rsidR="003305BF">
        <w:rPr>
          <w:lang w:eastAsia="el-GR"/>
        </w:rPr>
        <w:t>-0.44, 0.2, -0.49, -0.67, 0.31, 1.16 respectively</w:t>
      </w:r>
      <w:r w:rsidRPr="003305BF">
        <w:rPr>
          <w:lang w:eastAsia="el-GR"/>
        </w:rPr>
        <w:t>.</w:t>
      </w:r>
      <w:r w:rsidR="0089036B">
        <w:rPr>
          <w:lang w:eastAsia="el-GR"/>
        </w:rPr>
        <w:br/>
      </w:r>
    </w:p>
    <w:p w:rsidR="0089036B" w:rsidRDefault="00906FB5" w:rsidP="0089036B">
      <w:pPr>
        <w:pStyle w:val="BodyText"/>
        <w:ind w:firstLine="720"/>
        <w:rPr>
          <w:lang w:eastAsia="el-GR"/>
        </w:rPr>
      </w:pPr>
      <w:r w:rsidRPr="003305BF">
        <w:rPr>
          <w:lang w:eastAsia="el-GR"/>
        </w:rPr>
        <w:t>The</w:t>
      </w:r>
      <w:r w:rsidR="00B363BD">
        <w:rPr>
          <w:lang w:eastAsia="el-GR"/>
        </w:rPr>
        <w:t>refore, the complete regression equation</w:t>
      </w:r>
      <w:r w:rsidRPr="003305BF">
        <w:rPr>
          <w:lang w:eastAsia="el-GR"/>
        </w:rPr>
        <w:t xml:space="preserve"> is</w:t>
      </w:r>
      <w:r w:rsidR="00B363BD">
        <w:rPr>
          <w:lang w:eastAsia="el-GR"/>
        </w:rPr>
        <w:t>:</w:t>
      </w:r>
      <w:r w:rsidRPr="003305BF">
        <w:rPr>
          <w:lang w:eastAsia="el-GR"/>
        </w:rPr>
        <w:t> </w:t>
      </w:r>
      <w:r w:rsidR="00B363BD">
        <w:rPr>
          <w:lang w:eastAsia="el-GR"/>
        </w:rPr>
        <w:br/>
      </w:r>
      <w:r w:rsidR="005D7F0C">
        <w:rPr>
          <w:lang w:eastAsia="el-GR"/>
        </w:rPr>
        <w:br/>
      </w:r>
      <w:r w:rsidR="00B363BD">
        <w:rPr>
          <w:lang w:eastAsia="el-GR"/>
        </w:rPr>
        <w:t>House Pricing</w:t>
      </w:r>
      <w:r w:rsidR="00B363BD">
        <w:rPr>
          <w:i/>
          <w:iCs/>
          <w:lang w:eastAsia="el-GR"/>
        </w:rPr>
        <w:t xml:space="preserve"> = 12.34 - 0.44 * Flats/Maisonettes + 0.2 * Other – 0.49 * Semi-Detached – 0.67 * Terraced + 0.31 * Freehold + 1.16 * London.</w:t>
      </w:r>
      <w:r w:rsidR="00B363BD">
        <w:rPr>
          <w:lang w:eastAsia="el-GR"/>
        </w:rPr>
        <w:br/>
      </w:r>
    </w:p>
    <w:p w:rsidR="0089036B" w:rsidRDefault="00906FB5" w:rsidP="0089036B">
      <w:pPr>
        <w:pStyle w:val="BodyText"/>
        <w:ind w:firstLine="720"/>
        <w:rPr>
          <w:lang w:eastAsia="el-GR"/>
        </w:rPr>
      </w:pPr>
      <w:r w:rsidRPr="003305BF">
        <w:rPr>
          <w:lang w:eastAsia="el-GR"/>
        </w:rPr>
        <w:t xml:space="preserve">This equation tells us that the predicted </w:t>
      </w:r>
      <w:r w:rsidR="00B363BD">
        <w:rPr>
          <w:lang w:eastAsia="el-GR"/>
        </w:rPr>
        <w:t>house pricing for UK in the year 2015</w:t>
      </w:r>
      <w:r w:rsidRPr="003305BF">
        <w:rPr>
          <w:lang w:eastAsia="el-GR"/>
        </w:rPr>
        <w:t xml:space="preserve"> will increase by </w:t>
      </w:r>
      <w:r w:rsidR="00AE51C8">
        <w:rPr>
          <w:lang w:eastAsia="el-GR"/>
        </w:rPr>
        <w:t>0.2. 0.31 and 1.16</w:t>
      </w:r>
      <w:r w:rsidRPr="003305BF">
        <w:rPr>
          <w:lang w:eastAsia="el-GR"/>
        </w:rPr>
        <w:t xml:space="preserve"> for every one percent increase in the </w:t>
      </w:r>
      <w:r w:rsidR="00AE51C8">
        <w:rPr>
          <w:lang w:eastAsia="el-GR"/>
        </w:rPr>
        <w:t>Other Property type, Freehold tenure duration and London</w:t>
      </w:r>
      <w:r w:rsidRPr="003305BF">
        <w:rPr>
          <w:lang w:eastAsia="el-GR"/>
        </w:rPr>
        <w:t xml:space="preserve"> rate</w:t>
      </w:r>
      <w:r w:rsidR="00AE51C8">
        <w:rPr>
          <w:lang w:eastAsia="el-GR"/>
        </w:rPr>
        <w:t xml:space="preserve"> respectively</w:t>
      </w:r>
      <w:r w:rsidRPr="003305BF">
        <w:rPr>
          <w:lang w:eastAsia="el-GR"/>
        </w:rPr>
        <w:t xml:space="preserve">. </w:t>
      </w:r>
      <w:r w:rsidR="00AE51C8">
        <w:rPr>
          <w:lang w:eastAsia="el-GR"/>
        </w:rPr>
        <w:t xml:space="preserve"> Also, it will be decreased by 0.44, 0.49 and 0.67 </w:t>
      </w:r>
      <w:r w:rsidR="00AE51C8" w:rsidRPr="003305BF">
        <w:rPr>
          <w:lang w:eastAsia="el-GR"/>
        </w:rPr>
        <w:t xml:space="preserve">for every one percent increase in the </w:t>
      </w:r>
      <w:r w:rsidR="00AE51C8">
        <w:rPr>
          <w:lang w:eastAsia="el-GR"/>
        </w:rPr>
        <w:t>Flats/Maisonettes Property type, Semi-Detached Property type and Terraced</w:t>
      </w:r>
      <w:r w:rsidR="00AE51C8" w:rsidRPr="003305BF">
        <w:rPr>
          <w:lang w:eastAsia="el-GR"/>
        </w:rPr>
        <w:t xml:space="preserve"> </w:t>
      </w:r>
      <w:r w:rsidR="00AE51C8">
        <w:rPr>
          <w:lang w:eastAsia="el-GR"/>
        </w:rPr>
        <w:t xml:space="preserve">Property type </w:t>
      </w:r>
      <w:r w:rsidR="00AE51C8" w:rsidRPr="003305BF">
        <w:rPr>
          <w:lang w:eastAsia="el-GR"/>
        </w:rPr>
        <w:t>rate</w:t>
      </w:r>
      <w:r w:rsidR="00AE51C8">
        <w:rPr>
          <w:lang w:eastAsia="el-GR"/>
        </w:rPr>
        <w:t xml:space="preserve"> respectively.</w:t>
      </w:r>
      <w:r w:rsidR="00AE51C8" w:rsidRPr="003305BF">
        <w:rPr>
          <w:lang w:eastAsia="el-GR"/>
        </w:rPr>
        <w:t xml:space="preserve"> </w:t>
      </w:r>
      <w:r w:rsidR="00B11193">
        <w:rPr>
          <w:lang w:eastAsia="el-GR"/>
        </w:rPr>
        <w:br/>
      </w:r>
    </w:p>
    <w:p w:rsidR="00906FB5" w:rsidRPr="0089036B" w:rsidRDefault="00B11193" w:rsidP="0089036B">
      <w:pPr>
        <w:pStyle w:val="BodyText"/>
        <w:ind w:firstLine="720"/>
        <w:rPr>
          <w:lang w:eastAsia="el-GR"/>
        </w:rPr>
      </w:pPr>
      <w:r w:rsidRPr="00B11193">
        <w:rPr>
          <w:lang w:eastAsia="el-GR"/>
        </w:rPr>
        <w:t xml:space="preserve">One </w:t>
      </w:r>
      <w:r>
        <w:rPr>
          <w:lang w:eastAsia="el-GR"/>
        </w:rPr>
        <w:t>last</w:t>
      </w:r>
      <w:r w:rsidRPr="00B11193">
        <w:rPr>
          <w:lang w:eastAsia="el-GR"/>
        </w:rPr>
        <w:t xml:space="preserve"> thing to note is that one </w:t>
      </w:r>
      <w:r w:rsidR="0089036B">
        <w:rPr>
          <w:lang w:eastAsia="el-GR"/>
        </w:rPr>
        <w:t xml:space="preserve">level </w:t>
      </w:r>
      <w:r w:rsidRPr="00B11193">
        <w:rPr>
          <w:lang w:eastAsia="el-GR"/>
        </w:rPr>
        <w:t xml:space="preserve">of </w:t>
      </w:r>
      <w:r>
        <w:rPr>
          <w:lang w:eastAsia="el-GR"/>
        </w:rPr>
        <w:t xml:space="preserve">each </w:t>
      </w:r>
      <w:r w:rsidR="0089036B">
        <w:rPr>
          <w:lang w:eastAsia="el-GR"/>
        </w:rPr>
        <w:t>factor</w:t>
      </w:r>
      <w:r w:rsidR="0089036B" w:rsidRPr="00B11193">
        <w:rPr>
          <w:lang w:eastAsia="el-GR"/>
        </w:rPr>
        <w:t xml:space="preserve"> will</w:t>
      </w:r>
      <w:r w:rsidRPr="00B11193">
        <w:rPr>
          <w:lang w:eastAsia="el-GR"/>
        </w:rPr>
        <w:t xml:space="preserve"> not appear in the output. This is because when fitting a regression with </w:t>
      </w:r>
      <w:r>
        <w:rPr>
          <w:lang w:eastAsia="el-GR"/>
        </w:rPr>
        <w:t>categorical variables,</w:t>
      </w:r>
      <w:r w:rsidRPr="00B11193">
        <w:rPr>
          <w:lang w:eastAsia="el-GR"/>
        </w:rPr>
        <w:t xml:space="preserve"> one </w:t>
      </w:r>
      <w:r>
        <w:rPr>
          <w:lang w:eastAsia="el-GR"/>
        </w:rPr>
        <w:t>level</w:t>
      </w:r>
      <w:r w:rsidRPr="00B11193">
        <w:rPr>
          <w:lang w:eastAsia="el-GR"/>
        </w:rPr>
        <w:t xml:space="preserve"> must be left out </w:t>
      </w:r>
      <w:r>
        <w:rPr>
          <w:lang w:eastAsia="el-GR"/>
        </w:rPr>
        <w:t>in order to avoid overfitting (</w:t>
      </w:r>
      <w:hyperlink r:id="rId9" w:history="1">
        <w:r w:rsidRPr="00B11193">
          <w:rPr>
            <w:lang w:eastAsia="el-GR"/>
          </w:rPr>
          <w:t>dummy variable trap</w:t>
        </w:r>
      </w:hyperlink>
      <w:r>
        <w:rPr>
          <w:lang w:eastAsia="el-GR"/>
        </w:rPr>
        <w:t>). In our model, Detached Property type, Leasehold tenure duration and non-London towns/cities are</w:t>
      </w:r>
      <w:r w:rsidRPr="00B11193">
        <w:rPr>
          <w:lang w:eastAsia="el-GR"/>
        </w:rPr>
        <w:t xml:space="preserve"> left out of the summary but </w:t>
      </w:r>
      <w:r w:rsidRPr="00B11193">
        <w:rPr>
          <w:iCs/>
          <w:lang w:eastAsia="el-GR"/>
        </w:rPr>
        <w:t>still taken into account</w:t>
      </w:r>
      <w:r>
        <w:rPr>
          <w:iCs/>
          <w:lang w:eastAsia="el-GR"/>
        </w:rPr>
        <w:t>.</w:t>
      </w:r>
      <w:r w:rsidR="002E7C11">
        <w:rPr>
          <w:iCs/>
          <w:lang w:eastAsia="el-GR"/>
        </w:rPr>
        <w:t xml:space="preserve"> T</w:t>
      </w:r>
      <w:r w:rsidR="002E7C11" w:rsidRPr="002E7C11">
        <w:rPr>
          <w:iCs/>
          <w:lang w:eastAsia="el-GR"/>
        </w:rPr>
        <w:t xml:space="preserve">he intercept </w:t>
      </w:r>
      <w:r w:rsidR="002E7C11" w:rsidRPr="002E7C11">
        <w:rPr>
          <w:iCs/>
          <w:lang w:eastAsia="el-GR"/>
        </w:rPr>
        <w:lastRenderedPageBreak/>
        <w:t>gives the mean value of price for</w:t>
      </w:r>
      <w:r w:rsidR="002E7C11">
        <w:rPr>
          <w:iCs/>
          <w:lang w:eastAsia="el-GR"/>
        </w:rPr>
        <w:t xml:space="preserve"> the ‘invisible’</w:t>
      </w:r>
      <w:r w:rsidR="002E7C11" w:rsidRPr="002E7C11">
        <w:rPr>
          <w:iCs/>
          <w:lang w:eastAsia="el-GR"/>
        </w:rPr>
        <w:t xml:space="preserve"> levels</w:t>
      </w:r>
      <w:r w:rsidR="002E7C11">
        <w:rPr>
          <w:iCs/>
          <w:lang w:eastAsia="el-GR"/>
        </w:rPr>
        <w:t xml:space="preserve">. Thus, </w:t>
      </w:r>
      <w:r w:rsidR="002E7C11" w:rsidRPr="002E7C11">
        <w:rPr>
          <w:lang w:eastAsia="el-GR"/>
        </w:rPr>
        <w:t xml:space="preserve">the coefficient for </w:t>
      </w:r>
      <w:r w:rsidR="002E7C11">
        <w:rPr>
          <w:lang w:eastAsia="el-GR"/>
        </w:rPr>
        <w:t xml:space="preserve">Flats/Maisonettes </w:t>
      </w:r>
      <w:r w:rsidR="002E7C11" w:rsidRPr="002E7C11">
        <w:rPr>
          <w:lang w:eastAsia="el-GR"/>
        </w:rPr>
        <w:t xml:space="preserve">means that the mean </w:t>
      </w:r>
      <w:r w:rsidR="002E7C11">
        <w:rPr>
          <w:lang w:eastAsia="el-GR"/>
        </w:rPr>
        <w:t>price</w:t>
      </w:r>
      <w:r w:rsidR="002E7C11" w:rsidRPr="002E7C11">
        <w:rPr>
          <w:lang w:eastAsia="el-GR"/>
        </w:rPr>
        <w:t xml:space="preserve"> for </w:t>
      </w:r>
      <w:r w:rsidR="002E49AA">
        <w:rPr>
          <w:lang w:eastAsia="el-GR"/>
        </w:rPr>
        <w:t>a Flat/Maisonette</w:t>
      </w:r>
      <w:r w:rsidR="002E7C11" w:rsidRPr="002E7C11">
        <w:rPr>
          <w:lang w:eastAsia="el-GR"/>
        </w:rPr>
        <w:t xml:space="preserve"> will be </w:t>
      </w:r>
      <w:r w:rsidR="002E49AA">
        <w:rPr>
          <w:lang w:eastAsia="el-GR"/>
        </w:rPr>
        <w:t>0.44</w:t>
      </w:r>
      <w:r w:rsidR="002E7C11" w:rsidRPr="002E7C11">
        <w:rPr>
          <w:lang w:eastAsia="el-GR"/>
        </w:rPr>
        <w:t>(</w:t>
      </w:r>
      <w:r w:rsidR="002E49AA">
        <w:rPr>
          <w:lang w:eastAsia="el-GR"/>
        </w:rPr>
        <w:t>Pounds? / Euros?) smaller</w:t>
      </w:r>
      <w:r w:rsidR="002E7C11" w:rsidRPr="002E7C11">
        <w:rPr>
          <w:lang w:eastAsia="el-GR"/>
        </w:rPr>
        <w:t xml:space="preserve"> than the </w:t>
      </w:r>
      <w:r w:rsidR="002E49AA">
        <w:rPr>
          <w:lang w:eastAsia="el-GR"/>
        </w:rPr>
        <w:t>price</w:t>
      </w:r>
      <w:r w:rsidR="002E7C11" w:rsidRPr="002E7C11">
        <w:rPr>
          <w:lang w:eastAsia="el-GR"/>
        </w:rPr>
        <w:t xml:space="preserve"> for </w:t>
      </w:r>
      <w:r w:rsidR="002E49AA">
        <w:rPr>
          <w:lang w:eastAsia="el-GR"/>
        </w:rPr>
        <w:t>a Detached</w:t>
      </w:r>
      <w:r w:rsidR="002E7C11" w:rsidRPr="002E7C11">
        <w:rPr>
          <w:lang w:eastAsia="el-GR"/>
        </w:rPr>
        <w:t xml:space="preserve">, regardless of the </w:t>
      </w:r>
      <w:r w:rsidR="002E49AA">
        <w:rPr>
          <w:lang w:eastAsia="el-GR"/>
        </w:rPr>
        <w:t>Lease duration and Town/City.</w:t>
      </w:r>
      <w:r w:rsidR="002E7C11" w:rsidRPr="002E7C11">
        <w:rPr>
          <w:iCs/>
          <w:lang w:eastAsia="el-GR"/>
        </w:rPr>
        <w:t xml:space="preserve"> </w:t>
      </w:r>
    </w:p>
    <w:p w:rsidR="00906FB5" w:rsidRPr="00906FB5" w:rsidRDefault="00906FB5" w:rsidP="00906FB5">
      <w:pPr>
        <w:pStyle w:val="BodyText"/>
        <w:rPr>
          <w:lang w:eastAsia="el-GR"/>
        </w:rPr>
      </w:pPr>
    </w:p>
    <w:p w:rsidR="00906FB5" w:rsidRPr="00906FB5" w:rsidRDefault="00906FB5" w:rsidP="00906FB5">
      <w:pPr>
        <w:pStyle w:val="BodyText"/>
        <w:rPr>
          <w:lang w:eastAsia="el-GR"/>
        </w:rPr>
      </w:pPr>
    </w:p>
    <w:p w:rsidR="00BB24A5" w:rsidRPr="000B7FB7" w:rsidRDefault="00BB24A5" w:rsidP="0089036B">
      <w:pPr>
        <w:pStyle w:val="Heading6"/>
        <w:rPr>
          <w:noProof/>
          <w:lang w:eastAsia="el-GR"/>
        </w:rPr>
      </w:pPr>
      <w:r>
        <w:t>Diagnostic Plots</w:t>
      </w:r>
    </w:p>
    <w:p w:rsidR="00BB24A5" w:rsidRPr="000B7FB7" w:rsidRDefault="00BB24A5" w:rsidP="00BB24A5">
      <w:pPr>
        <w:pStyle w:val="Heading6"/>
        <w:ind w:left="720"/>
        <w:rPr>
          <w:noProof/>
          <w:lang w:eastAsia="el-GR"/>
        </w:rPr>
      </w:pPr>
    </w:p>
    <w:p w:rsidR="00BB24A5" w:rsidRDefault="0095792C" w:rsidP="00BB24A5">
      <w:pPr>
        <w:pStyle w:val="Heading6"/>
        <w:ind w:left="3261" w:hanging="2541"/>
      </w:pPr>
      <w:r>
        <w:rPr>
          <w:noProof/>
          <w:lang w:val="el-GR" w:eastAsia="el-G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azon_Rmd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24A5">
        <w:rPr>
          <w:i/>
          <w:sz w:val="22"/>
          <w:szCs w:val="22"/>
        </w:rPr>
        <w:br/>
        <w:t>Figure 3</w:t>
      </w:r>
      <w:r w:rsidR="00BB24A5" w:rsidRPr="000037C3">
        <w:rPr>
          <w:i/>
          <w:sz w:val="22"/>
          <w:szCs w:val="22"/>
        </w:rPr>
        <w:t>.</w:t>
      </w:r>
      <w:r w:rsidR="00BB24A5">
        <w:rPr>
          <w:i/>
          <w:sz w:val="22"/>
          <w:szCs w:val="22"/>
        </w:rPr>
        <w:t xml:space="preserve"> </w:t>
      </w:r>
      <w:r w:rsidR="00BB24A5" w:rsidRPr="000037C3">
        <w:rPr>
          <w:i/>
          <w:sz w:val="22"/>
          <w:szCs w:val="22"/>
        </w:rPr>
        <w:t xml:space="preserve"> </w:t>
      </w:r>
      <w:r w:rsidR="00BB24A5">
        <w:rPr>
          <w:i/>
          <w:sz w:val="22"/>
          <w:szCs w:val="22"/>
        </w:rPr>
        <w:t>Diagnostic Plots</w:t>
      </w:r>
    </w:p>
    <w:p w:rsidR="00BB24A5" w:rsidRDefault="00BB24A5" w:rsidP="00E11E9D">
      <w:pPr>
        <w:pStyle w:val="BodyText"/>
        <w:ind w:firstLine="720"/>
      </w:pPr>
      <w:r>
        <w:t>Observing the 4 diagnostic plots (</w:t>
      </w:r>
      <w:r w:rsidRPr="005D7F0C"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  <w:t>Figure 3</w:t>
      </w:r>
      <w:r>
        <w:t xml:space="preserve">), we conclude that </w:t>
      </w:r>
      <w:r w:rsidR="00E11E9D">
        <w:t>the assumptions of normality of residuals (</w:t>
      </w:r>
      <w:r w:rsidR="00E11E9D" w:rsidRPr="005D7F0C"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  <w:t>Normal Q-Q plot</w:t>
      </w:r>
      <w:r w:rsidR="00E11E9D">
        <w:t>) and homoscedasticity of variance (</w:t>
      </w:r>
      <w:r w:rsidR="00E11E9D" w:rsidRPr="005D7F0C">
        <w:rPr>
          <w:rFonts w:asciiTheme="majorHAnsi" w:eastAsiaTheme="majorEastAsia" w:hAnsiTheme="majorHAnsi" w:cstheme="majorBidi"/>
          <w:i/>
          <w:color w:val="4F81BD" w:themeColor="accent1"/>
          <w:sz w:val="22"/>
          <w:szCs w:val="22"/>
        </w:rPr>
        <w:t>Residuals vs Fitted, Scale Location vs Fitted</w:t>
      </w:r>
      <w:r w:rsidR="00E11E9D">
        <w:t>) are getting violated.</w:t>
      </w:r>
      <w:r w:rsidR="00E11E9D" w:rsidRPr="00E11E9D">
        <w:rPr>
          <w:rFonts w:ascii="Arial" w:eastAsia="Times New Roman" w:hAnsi="Arial" w:cs="Arial"/>
        </w:rPr>
        <w:t xml:space="preserve"> </w:t>
      </w:r>
      <w:r w:rsidR="00E11E9D" w:rsidRPr="00E11E9D">
        <w:t>Given that the stand</w:t>
      </w:r>
      <w:r w:rsidR="00E11E9D">
        <w:t>ard assumptions are violated,</w:t>
      </w:r>
      <w:r w:rsidR="00E11E9D" w:rsidRPr="00E11E9D">
        <w:t xml:space="preserve"> the coefficients obtained are not reliable and should not be used</w:t>
      </w:r>
      <w:r w:rsidR="00E11E9D">
        <w:t>.</w:t>
      </w:r>
    </w:p>
    <w:p w:rsidR="00E11E9D" w:rsidRDefault="00E11E9D" w:rsidP="00E11E9D">
      <w:pPr>
        <w:pStyle w:val="BodyText"/>
        <w:ind w:firstLine="720"/>
      </w:pPr>
    </w:p>
    <w:p w:rsidR="00E11E9D" w:rsidRPr="0089036B" w:rsidRDefault="00E11E9D" w:rsidP="00E11E9D">
      <w:pPr>
        <w:pStyle w:val="Heading6"/>
        <w:ind w:left="720"/>
        <w:rPr>
          <w:noProof/>
          <w:sz w:val="28"/>
          <w:szCs w:val="28"/>
          <w:lang w:eastAsia="el-GR"/>
        </w:rPr>
      </w:pPr>
      <w:r w:rsidRPr="0089036B">
        <w:rPr>
          <w:sz w:val="28"/>
          <w:szCs w:val="28"/>
        </w:rPr>
        <w:t>Evaluation Metric</w:t>
      </w:r>
    </w:p>
    <w:p w:rsidR="00BB24A5" w:rsidRDefault="00BB24A5" w:rsidP="00E11E9D">
      <w:pPr>
        <w:pStyle w:val="BodyText"/>
        <w:ind w:firstLine="720"/>
      </w:pPr>
      <w:r>
        <w:t>As a final m</w:t>
      </w:r>
      <w:r w:rsidR="00E11E9D">
        <w:t>ove after scoring our model, we</w:t>
      </w:r>
      <w:r>
        <w:t xml:space="preserve"> </w:t>
      </w:r>
      <w:r w:rsidR="005D7F0C">
        <w:t xml:space="preserve">apply </w:t>
      </w:r>
      <w:r>
        <w:t>an evaluation method.</w:t>
      </w:r>
      <w:r>
        <w:br/>
        <w:t xml:space="preserve">For linear regression, a suitable </w:t>
      </w:r>
      <w:r w:rsidR="00E11E9D">
        <w:t xml:space="preserve">error metric </w:t>
      </w:r>
      <w:r>
        <w:t xml:space="preserve">method is </w:t>
      </w:r>
      <w:r w:rsidR="00E11E9D">
        <w:t xml:space="preserve">Root </w:t>
      </w:r>
      <w:r>
        <w:t xml:space="preserve">Mean Square Error. </w:t>
      </w:r>
      <w:r w:rsidR="00E11E9D">
        <w:br/>
        <w:t xml:space="preserve">It </w:t>
      </w:r>
      <w:r w:rsidR="00E11E9D" w:rsidRPr="00E11E9D">
        <w:t>gives the standard deviation of the model prediction error</w:t>
      </w:r>
      <w:r w:rsidR="00E11E9D">
        <w:t xml:space="preserve">. </w:t>
      </w:r>
      <w:r w:rsidR="00E11E9D">
        <w:br/>
      </w:r>
      <w:r>
        <w:t xml:space="preserve">In this model </w:t>
      </w:r>
      <w:r w:rsidR="00E11E9D">
        <w:t>R</w:t>
      </w:r>
      <w:r>
        <w:t xml:space="preserve">MSE is 0.59, a pretty high </w:t>
      </w:r>
      <w:r w:rsidR="00E11E9D">
        <w:t>one</w:t>
      </w:r>
      <w:r w:rsidR="009D0E1F">
        <w:t xml:space="preserve">, which means that our model isn’t good. In </w:t>
      </w:r>
      <w:r w:rsidR="00004597">
        <w:t>general,</w:t>
      </w:r>
      <w:r w:rsidR="009D0E1F">
        <w:t xml:space="preserve"> the lower the RMSE, the better for model performance.</w:t>
      </w:r>
    </w:p>
    <w:p w:rsidR="00E11E9D" w:rsidRPr="0089036B" w:rsidRDefault="00E11E9D" w:rsidP="00E11E9D">
      <w:pPr>
        <w:pStyle w:val="Heading6"/>
        <w:ind w:left="720"/>
        <w:rPr>
          <w:noProof/>
          <w:sz w:val="28"/>
          <w:szCs w:val="28"/>
          <w:lang w:eastAsia="el-GR"/>
        </w:rPr>
      </w:pPr>
      <w:r w:rsidRPr="0089036B">
        <w:rPr>
          <w:sz w:val="28"/>
          <w:szCs w:val="28"/>
        </w:rPr>
        <w:lastRenderedPageBreak/>
        <w:t>Conclusion</w:t>
      </w:r>
    </w:p>
    <w:p w:rsidR="00F657DA" w:rsidRDefault="0095792C" w:rsidP="00E11E9D">
      <w:pPr>
        <w:pStyle w:val="FirstParagraph"/>
        <w:ind w:firstLine="720"/>
      </w:pPr>
      <w:r>
        <w:t xml:space="preserve">As expected the </w:t>
      </w:r>
      <w:r w:rsidR="00457185">
        <w:t xml:space="preserve">multiple </w:t>
      </w:r>
      <w:r>
        <w:t xml:space="preserve">linear regression model didn't perform well. This happened not only because the dataset lacks of </w:t>
      </w:r>
      <w:r w:rsidR="0040302A">
        <w:t>necessary</w:t>
      </w:r>
      <w:r>
        <w:t xml:space="preserve"> information but also because all our independent features ar</w:t>
      </w:r>
      <w:r w:rsidR="00E11E9D">
        <w:t>e categorical. In this case</w:t>
      </w:r>
      <w:r w:rsidR="000B7FB7">
        <w:t>,</w:t>
      </w:r>
      <w:r w:rsidR="00E11E9D">
        <w:t xml:space="preserve"> an E</w:t>
      </w:r>
      <w:r>
        <w:t xml:space="preserve">nsemble model like Random Forest might perform </w:t>
      </w:r>
      <w:r w:rsidR="00D26FFA">
        <w:t xml:space="preserve">a bit </w:t>
      </w:r>
      <w:r>
        <w:t>better. Random Forests</w:t>
      </w:r>
      <w:r w:rsidR="000B7FB7">
        <w:t xml:space="preserve"> build multiple Decision Trees and</w:t>
      </w:r>
      <w:r>
        <w:t xml:space="preserve"> correct the overfitting </w:t>
      </w:r>
      <w:r w:rsidR="000B7FB7">
        <w:t>problem.</w:t>
      </w:r>
      <w:r w:rsidR="00E11E9D">
        <w:t xml:space="preserve"> Or even a more accurate and faster Boosting model like xGBoost.</w:t>
      </w:r>
      <w:r w:rsidR="007876B6">
        <w:t xml:space="preserve"> </w:t>
      </w:r>
    </w:p>
    <w:sectPr w:rsidR="00F657DA" w:rsidSect="0089036B">
      <w:pgSz w:w="12240" w:h="15840"/>
      <w:pgMar w:top="567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9D6" w:rsidRDefault="006079D6">
      <w:pPr>
        <w:spacing w:after="0"/>
      </w:pPr>
      <w:r>
        <w:separator/>
      </w:r>
    </w:p>
  </w:endnote>
  <w:endnote w:type="continuationSeparator" w:id="0">
    <w:p w:rsidR="006079D6" w:rsidRDefault="006079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9D6" w:rsidRDefault="006079D6">
      <w:r>
        <w:separator/>
      </w:r>
    </w:p>
  </w:footnote>
  <w:footnote w:type="continuationSeparator" w:id="0">
    <w:p w:rsidR="006079D6" w:rsidRDefault="00607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6F9EF6"/>
    <w:multiLevelType w:val="multilevel"/>
    <w:tmpl w:val="BCF80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F20C0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FD0EE4"/>
    <w:multiLevelType w:val="hybridMultilevel"/>
    <w:tmpl w:val="04E28FE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37C3"/>
    <w:rsid w:val="00004597"/>
    <w:rsid w:val="00011C8B"/>
    <w:rsid w:val="000B7FB7"/>
    <w:rsid w:val="001F2C2F"/>
    <w:rsid w:val="002465C1"/>
    <w:rsid w:val="002E49AA"/>
    <w:rsid w:val="002E7C11"/>
    <w:rsid w:val="003305BF"/>
    <w:rsid w:val="0040302A"/>
    <w:rsid w:val="00457185"/>
    <w:rsid w:val="0046103A"/>
    <w:rsid w:val="004E29B3"/>
    <w:rsid w:val="00500726"/>
    <w:rsid w:val="0051581F"/>
    <w:rsid w:val="00590D07"/>
    <w:rsid w:val="005D7F0C"/>
    <w:rsid w:val="006079D6"/>
    <w:rsid w:val="00784D58"/>
    <w:rsid w:val="007876B6"/>
    <w:rsid w:val="007C56CE"/>
    <w:rsid w:val="008166CD"/>
    <w:rsid w:val="0089036B"/>
    <w:rsid w:val="008C15AB"/>
    <w:rsid w:val="008D6863"/>
    <w:rsid w:val="00906FB5"/>
    <w:rsid w:val="0095792C"/>
    <w:rsid w:val="009D0E1F"/>
    <w:rsid w:val="00A709B2"/>
    <w:rsid w:val="00AE51C8"/>
    <w:rsid w:val="00B11193"/>
    <w:rsid w:val="00B363BD"/>
    <w:rsid w:val="00B86B75"/>
    <w:rsid w:val="00BB24A5"/>
    <w:rsid w:val="00BC01A5"/>
    <w:rsid w:val="00BC48D5"/>
    <w:rsid w:val="00C36279"/>
    <w:rsid w:val="00C51C17"/>
    <w:rsid w:val="00C65095"/>
    <w:rsid w:val="00D26FFA"/>
    <w:rsid w:val="00E11E9D"/>
    <w:rsid w:val="00E315A3"/>
    <w:rsid w:val="00F258E6"/>
    <w:rsid w:val="00F657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5EBD"/>
  <w15:docId w15:val="{52BA268C-F555-4E55-B72E-A639006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 w:uiPriority="66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5158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1581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ediumList2-Accent1">
    <w:name w:val="Medium List 2 Accent 1"/>
    <w:basedOn w:val="TableNormal"/>
    <w:uiPriority w:val="66"/>
    <w:rsid w:val="002465C1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06FB5"/>
  </w:style>
  <w:style w:type="character" w:styleId="Emphasis">
    <w:name w:val="Emphasis"/>
    <w:basedOn w:val="DefaultParagraphFont"/>
    <w:uiPriority w:val="20"/>
    <w:qFormat/>
    <w:rsid w:val="00906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ummy_variable_(statis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</dc:creator>
  <cp:lastModifiedBy>Deva Devaland</cp:lastModifiedBy>
  <cp:revision>15</cp:revision>
  <dcterms:created xsi:type="dcterms:W3CDTF">2016-11-30T20:15:00Z</dcterms:created>
  <dcterms:modified xsi:type="dcterms:W3CDTF">2017-05-01T16:26:00Z</dcterms:modified>
</cp:coreProperties>
</file>