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Шаблон</w:t>
      </w:r>
      <w:r>
        <w:t xml:space="preserve"> </w:t>
      </w:r>
      <w:r>
        <w:t xml:space="preserve">отчёта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</w:p>
    <w:p>
      <w:pPr>
        <w:pStyle w:val="Subtitle"/>
      </w:pPr>
      <w:r>
        <w:t xml:space="preserve">Простейший</w:t>
      </w:r>
      <w:r>
        <w:t xml:space="preserve"> </w:t>
      </w:r>
      <w:r>
        <w:t xml:space="preserve">вариант</w:t>
      </w:r>
    </w:p>
    <w:p>
      <w:pPr>
        <w:pStyle w:val="Author"/>
      </w:pPr>
      <w:r>
        <w:t xml:space="preserve">Дмитрий</w:t>
      </w:r>
      <w:r>
        <w:t xml:space="preserve"> </w:t>
      </w:r>
      <w:r>
        <w:t xml:space="preserve">Сергеевич</w:t>
      </w:r>
      <w:r>
        <w:t xml:space="preserve"> </w:t>
      </w:r>
      <w:r>
        <w:t xml:space="preserve">Кулябов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Здесь приводится формулировка цели лабораторной работы. Формулировки</w:t>
      </w:r>
      <w:r>
        <w:t xml:space="preserve"> </w:t>
      </w:r>
      <w:r>
        <w:t xml:space="preserve">цели для каждой лабораторной работы приведены в методических</w:t>
      </w:r>
      <w:r>
        <w:t xml:space="preserve"> </w:t>
      </w:r>
      <w:r>
        <w:t xml:space="preserve">указаниях.</w:t>
      </w:r>
    </w:p>
    <w:p>
      <w:pPr>
        <w:pStyle w:val="BodyText"/>
      </w:pPr>
      <w:r>
        <w:t xml:space="preserve">Цель данного шаблона — максимально упростить подготовку отчётов по</w:t>
      </w:r>
      <w:r>
        <w:t xml:space="preserve"> </w:t>
      </w:r>
      <w:r>
        <w:t xml:space="preserve">лабораторным работам. Модифицируя данный шаблон, студенты смогут без</w:t>
      </w:r>
      <w:r>
        <w:t xml:space="preserve"> </w:t>
      </w:r>
      <w:r>
        <w:t xml:space="preserve">труда подготовить отчёт по лабораторным работам, а также познакомиться</w:t>
      </w:r>
      <w:r>
        <w:t xml:space="preserve"> </w:t>
      </w:r>
      <w:r>
        <w:t xml:space="preserve">с основными возможностями разметки Markdown.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pStyle w:val="FirstParagraph"/>
      </w:pPr>
      <w:r>
        <w:t xml:space="preserve">Здесь приводится описание задания в соответствии с рекомендациями</w:t>
      </w:r>
      <w:r>
        <w:t xml:space="preserve"> </w:t>
      </w:r>
      <w:r>
        <w:t xml:space="preserve">методического пособия и выданным вариантом.</w:t>
      </w:r>
    </w:p>
    <w:bookmarkEnd w:id="21"/>
    <w:bookmarkStart w:id="23" w:name="теоретическое-введение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Теоретическое введение</w:t>
      </w:r>
    </w:p>
    <w:p>
      <w:pPr>
        <w:pStyle w:val="FirstParagraph"/>
      </w:pPr>
      <w:r>
        <w:t xml:space="preserve">Здесь описываются теоретические аспекты, связанные с выполнением работы.</w:t>
      </w:r>
    </w:p>
    <w:p>
      <w:pPr>
        <w:pStyle w:val="BodyText"/>
      </w:pPr>
      <w:r>
        <w:t xml:space="preserve">Например, в табл. 1 приведено краткое описание стандартных каталогов Unix.</w:t>
      </w:r>
    </w:p>
    <w:bookmarkStart w:id="22" w:name="tbl:std-dir"/>
    <w:p>
      <w:pPr>
        <w:pStyle w:val="TableCaption"/>
      </w:pPr>
      <w:r>
        <w:t xml:space="preserve">Таблица 1: Описание некоторых каталогов файловой системы GNU Linux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  <w:tblCaption w:val="Таблица 1: Описание некоторых каталогов файловой системы GNU Linux"/>
      </w:tblPr>
      <w:tblGrid>
        <w:gridCol w:w="803"/>
        <w:gridCol w:w="711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Имя каталога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Описание каталога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Корневая директория, содержащая всю файловую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/bin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Основные системные утилиты, необходимые как в однопользовательском режиме, так и при обычной работе всем пользователям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/etc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Общесистемные конфигурационные файлы и файлы конфигурации установленных программ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/home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Содержит домашние директории пользователей, которые, в свою очередь, содержат персональные настройки и данные пользователя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/media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Точки монтирования для сменных носителей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/root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Домашняя директория пользователя</w:t>
            </w:r>
            <w:r>
              <w:t xml:space="preserve"> </w:t>
            </w:r>
            <w:r>
              <w:rPr>
                <w:rStyle w:val="VerbatimChar"/>
              </w:rPr>
              <w:t xml:space="preserve">root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/tmp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Временные файлы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/usr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Вторичная иерархия для данных пользователя</w:t>
            </w:r>
          </w:p>
        </w:tc>
      </w:tr>
    </w:tbl>
    <w:bookmarkEnd w:id="22"/>
    <w:p>
      <w:pPr>
        <w:pStyle w:val="BodyText"/>
      </w:pPr>
      <w:r>
        <w:t xml:space="preserve">Более подробно про Unix см. в</w:t>
      </w:r>
      <w:r>
        <w:t xml:space="preserve"> </w:t>
      </w:r>
      <w:r>
        <w:t xml:space="preserve">[1–4]</w:t>
      </w:r>
      <w:r>
        <w:t xml:space="preserve">.</w:t>
      </w:r>
    </w:p>
    <w:bookmarkEnd w:id="23"/>
    <w:bookmarkStart w:id="27" w:name="выполнение-лабораторной-работ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Описываются проведённые действия, в качестве иллюстрации даётся ссылка на иллюстрацию (рис. 1).</w:t>
      </w:r>
    </w:p>
    <w:p>
      <w:pPr>
        <w:pStyle w:val="CaptionedFigure"/>
      </w:pPr>
      <w:r>
        <w:drawing>
          <wp:inline>
            <wp:extent cx="3733800" cy="2800350"/>
            <wp:effectExtent b="0" l="0" r="0" t="0"/>
            <wp:docPr descr="Название рисунка" title="" id="25" name="Picture"/>
            <a:graphic>
              <a:graphicData uri="http://schemas.openxmlformats.org/drawingml/2006/picture">
                <pic:pic>
                  <pic:nvPicPr>
                    <pic:cNvPr descr="image/placeimg_800_600_tech.jp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003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Название рисунка</w:t>
      </w:r>
    </w:p>
    <w:bookmarkEnd w:id="27"/>
    <w:bookmarkStart w:id="28" w:name="выводы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Здесь кратко описываются итоги проделанной работы.</w:t>
      </w:r>
    </w:p>
    <w:bookmarkEnd w:id="28"/>
    <w:bookmarkStart w:id="35" w:name="список-литературы"/>
    <w:p>
      <w:pPr>
        <w:pStyle w:val="Heading1"/>
      </w:pPr>
      <w:r>
        <w:t xml:space="preserve">Список литературы</w:t>
      </w:r>
    </w:p>
    <w:bookmarkStart w:id="34" w:name="refs"/>
    <w:bookmarkStart w:id="29" w:name="ref-tanenbaum_book_modern-os_ru"/>
    <w:p>
      <w:pPr>
        <w:pStyle w:val="Bibliography"/>
      </w:pPr>
      <w:r>
        <w:t xml:space="preserve">1.</w:t>
      </w:r>
      <w:r>
        <w:t xml:space="preserve"> </w:t>
      </w:r>
      <w:r>
        <w:t xml:space="preserve">	</w:t>
      </w:r>
      <w:r>
        <w:t xml:space="preserve">Таненбаум Э., Бос Х. Современные операционные системы. 4-е изд. СПб.: Питер, 2015. 1120 с.</w:t>
      </w:r>
    </w:p>
    <w:bookmarkEnd w:id="29"/>
    <w:bookmarkStart w:id="30" w:name="ref-robbins_book_bash_en"/>
    <w:p>
      <w:pPr>
        <w:pStyle w:val="Bibliography"/>
      </w:pPr>
      <w:r>
        <w:t xml:space="preserve">2.</w:t>
      </w:r>
      <w:r>
        <w:t xml:space="preserve"> </w:t>
      </w:r>
      <w:r>
        <w:t xml:space="preserve">	</w:t>
      </w:r>
      <w:r>
        <w:t xml:space="preserve">Robbins A. Bash Pocket Reference. O’Reilly Media, 2016. 156 с.</w:t>
      </w:r>
    </w:p>
    <w:bookmarkEnd w:id="30"/>
    <w:bookmarkStart w:id="31" w:name="ref-zarrelli_book_mastering-bash_en"/>
    <w:p>
      <w:pPr>
        <w:pStyle w:val="Bibliography"/>
      </w:pPr>
      <w:r>
        <w:t xml:space="preserve">3.</w:t>
      </w:r>
      <w:r>
        <w:t xml:space="preserve"> </w:t>
      </w:r>
      <w:r>
        <w:t xml:space="preserve">	</w:t>
      </w:r>
      <w:r>
        <w:t xml:space="preserve">Zarrelli G. Mastering Bash. Packt Publishing, 2017. 502 с.</w:t>
      </w:r>
    </w:p>
    <w:bookmarkEnd w:id="31"/>
    <w:bookmarkStart w:id="33" w:name="ref-newham_book_learning-bash_en"/>
    <w:p>
      <w:pPr>
        <w:pStyle w:val="Bibliography"/>
      </w:pPr>
      <w:r>
        <w:t xml:space="preserve">4.</w:t>
      </w:r>
      <w:r>
        <w:t xml:space="preserve"> </w:t>
      </w:r>
      <w:r>
        <w:t xml:space="preserve">	</w:t>
      </w:r>
      <w:r>
        <w:t xml:space="preserve">Newham C.</w:t>
      </w:r>
      <w:r>
        <w:t xml:space="preserve"> </w:t>
      </w:r>
      <w:hyperlink r:id="rId32">
        <w:r>
          <w:rPr>
            <w:rStyle w:val="Hyperlink"/>
          </w:rPr>
          <w:t xml:space="preserve">Learning the bash Shell: Unix Shell Programming</w:t>
        </w:r>
      </w:hyperlink>
      <w:r>
        <w:t xml:space="preserve">. O’Reilly Media, 2005. 354 с.</w:t>
      </w:r>
    </w:p>
    <w:bookmarkEnd w:id="33"/>
    <w:bookmarkEnd w:id="34"/>
    <w:bookmarkEnd w:id="3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4" Target="media/rId24.jpg" /><Relationship Type="http://schemas.openxmlformats.org/officeDocument/2006/relationships/hyperlink" Id="rId32" Target="http://www.amazon.com/Learning-bash-Shell-Programming-Nutshell/dp/0596009658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2" Target="http://www.amazon.com/Learning-bash-Shell-Programming-Nutshell/dp/0596009658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Шаблон отчёта по лабораторной работе</dc:title>
  <dc:creator>Дмитрий Сергеевич Кулябов</dc:creator>
  <dc:language>ru-RU</dc:language>
  <cp:keywords/>
  <dcterms:created xsi:type="dcterms:W3CDTF">2025-05-17T19:21:32Z</dcterms:created>
  <dcterms:modified xsi:type="dcterms:W3CDTF">2025-05-17T19:21:32Z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IBM Plex Serif</vt:lpwstr>
  </property>
  <property fmtid="{D5CDD505-2E9C-101B-9397-08002B2CF9AE}" pid="59" name="mainfontoptions">
    <vt:lpwstr>Ligatures=Common,Ligatures=TeX,Scale=0.94</vt:lpwstr>
  </property>
  <property fmtid="{D5CDD505-2E9C-101B-9397-08002B2CF9AE}" pid="60" name="mathfont">
    <vt:lpwstr>STIX Two Math</vt:lpwstr>
  </property>
  <property fmtid="{D5CDD505-2E9C-101B-9397-08002B2CF9AE}" pid="61" name="mathfontoptions">
    <vt:lpwstr/>
  </property>
  <property fmtid="{D5CDD505-2E9C-101B-9397-08002B2CF9AE}" pid="62" name="monofont">
    <vt:lpwstr>IBM Plex Mono</vt:lpwstr>
  </property>
  <property fmtid="{D5CDD505-2E9C-101B-9397-08002B2CF9AE}" pid="63" name="monofontoptions">
    <vt:lpwstr>Scale=MatchLowercase,Scale=0.94,FakeStretch=0.9</vt:lpwstr>
  </property>
  <property fmtid="{D5CDD505-2E9C-101B-9397-08002B2CF9AE}" pid="64" name="nameInLink">
    <vt:lpwstr>False</vt:lpwstr>
  </property>
  <property fmtid="{D5CDD505-2E9C-101B-9397-08002B2CF9AE}" pid="65" name="numberSections">
    <vt:lpwstr>False</vt:lpwstr>
  </property>
  <property fmtid="{D5CDD505-2E9C-101B-9397-08002B2CF9AE}" pid="66" name="pairDelim">
    <vt:lpwstr>, </vt:lpwstr>
  </property>
  <property fmtid="{D5CDD505-2E9C-101B-9397-08002B2CF9AE}" pid="67" name="papersize">
    <vt:lpwstr>a4</vt:lpwstr>
  </property>
  <property fmtid="{D5CDD505-2E9C-101B-9397-08002B2CF9AE}" pid="68" name="polyglossia-lang">
    <vt:lpwstr/>
  </property>
  <property fmtid="{D5CDD505-2E9C-101B-9397-08002B2CF9AE}" pid="69" name="polyglossia-otherlangs">
    <vt:lpwstr/>
  </property>
  <property fmtid="{D5CDD505-2E9C-101B-9397-08002B2CF9AE}" pid="70" name="rangeDelim">
    <vt:lpwstr>-</vt:lpwstr>
  </property>
  <property fmtid="{D5CDD505-2E9C-101B-9397-08002B2CF9AE}" pid="71" name="refDelim">
    <vt:lpwstr>, </vt:lpwstr>
  </property>
  <property fmtid="{D5CDD505-2E9C-101B-9397-08002B2CF9AE}" pid="72" name="refIndexTemplate">
    <vt:lpwstr>isuf</vt:lpwstr>
  </property>
  <property fmtid="{D5CDD505-2E9C-101B-9397-08002B2CF9AE}" pid="73" name="romanfont">
    <vt:lpwstr>IBM Plex Serif</vt:lpwstr>
  </property>
  <property fmtid="{D5CDD505-2E9C-101B-9397-08002B2CF9AE}" pid="74" name="romanfontoptions">
    <vt:lpwstr>Ligatures=Common,Ligatures=TeX,Scale=0.94</vt:lpwstr>
  </property>
  <property fmtid="{D5CDD505-2E9C-101B-9397-08002B2CF9AE}" pid="75" name="sansfont">
    <vt:lpwstr>IBM Plex Sans</vt:lpwstr>
  </property>
  <property fmtid="{D5CDD505-2E9C-101B-9397-08002B2CF9AE}" pid="76" name="sansfontoptions">
    <vt:lpwstr>Ligatures=Common,Ligatures=TeX,Scale=MatchLowercase,Scale=0.94</vt:lpwstr>
  </property>
  <property fmtid="{D5CDD505-2E9C-101B-9397-08002B2CF9AE}" pid="77" name="secHeaderDelim">
    <vt:lpwstr> </vt:lpwstr>
  </property>
  <property fmtid="{D5CDD505-2E9C-101B-9397-08002B2CF9AE}" pid="78" name="secHeaderTemplate">
    <vt:lpwstr>isecHeaderDelim[n]t</vt:lpwstr>
  </property>
  <property fmtid="{D5CDD505-2E9C-101B-9397-08002B2CF9AE}" pid="79" name="secLabels">
    <vt:lpwstr>arabic</vt:lpwstr>
  </property>
  <property fmtid="{D5CDD505-2E9C-101B-9397-08002B2CF9AE}" pid="80" name="secPrefix">
    <vt:lpwstr/>
  </property>
  <property fmtid="{D5CDD505-2E9C-101B-9397-08002B2CF9AE}" pid="81" name="secPrefixTemplate">
    <vt:lpwstr>p i</vt:lpwstr>
  </property>
  <property fmtid="{D5CDD505-2E9C-101B-9397-08002B2CF9AE}" pid="82" name="sectionsDepth">
    <vt:lpwstr>0</vt:lpwstr>
  </property>
  <property fmtid="{D5CDD505-2E9C-101B-9397-08002B2CF9AE}" pid="83" name="subfigGrid">
    <vt:lpwstr>False</vt:lpwstr>
  </property>
  <property fmtid="{D5CDD505-2E9C-101B-9397-08002B2CF9AE}" pid="84" name="subfigLabels">
    <vt:lpwstr>alpha a</vt:lpwstr>
  </property>
  <property fmtid="{D5CDD505-2E9C-101B-9397-08002B2CF9AE}" pid="85" name="subfigureChildTemplate">
    <vt:lpwstr>i</vt:lpwstr>
  </property>
  <property fmtid="{D5CDD505-2E9C-101B-9397-08002B2CF9AE}" pid="86" name="subfigureRefIndexTemplate">
    <vt:lpwstr>isuf (s)</vt:lpwstr>
  </property>
  <property fmtid="{D5CDD505-2E9C-101B-9397-08002B2CF9AE}" pid="87" name="subfigureTemplate">
    <vt:lpwstr>figureTitle ititleDelim t. ccs</vt:lpwstr>
  </property>
  <property fmtid="{D5CDD505-2E9C-101B-9397-08002B2CF9AE}" pid="88" name="subtitle">
    <vt:lpwstr>Простейший вариант</vt:lpwstr>
  </property>
  <property fmtid="{D5CDD505-2E9C-101B-9397-08002B2CF9AE}" pid="89" name="tableEqns">
    <vt:lpwstr>False</vt:lpwstr>
  </property>
  <property fmtid="{D5CDD505-2E9C-101B-9397-08002B2CF9AE}" pid="90" name="tableTemplate">
    <vt:lpwstr>tableTitle ititleDelim t</vt:lpwstr>
  </property>
  <property fmtid="{D5CDD505-2E9C-101B-9397-08002B2CF9AE}" pid="91" name="tableTitle">
    <vt:lpwstr>Таблица</vt:lpwstr>
  </property>
  <property fmtid="{D5CDD505-2E9C-101B-9397-08002B2CF9AE}" pid="92" name="tblLabels">
    <vt:lpwstr>arabic</vt:lpwstr>
  </property>
  <property fmtid="{D5CDD505-2E9C-101B-9397-08002B2CF9AE}" pid="93" name="tblPrefix">
    <vt:lpwstr/>
  </property>
  <property fmtid="{D5CDD505-2E9C-101B-9397-08002B2CF9AE}" pid="94" name="tblPrefixTemplate">
    <vt:lpwstr>p i</vt:lpwstr>
  </property>
  <property fmtid="{D5CDD505-2E9C-101B-9397-08002B2CF9AE}" pid="95" name="titleDelim">
    <vt:lpwstr>:</vt:lpwstr>
  </property>
  <property fmtid="{D5CDD505-2E9C-101B-9397-08002B2CF9AE}" pid="96" name="toc">
    <vt:lpwstr>True</vt:lpwstr>
  </property>
  <property fmtid="{D5CDD505-2E9C-101B-9397-08002B2CF9AE}" pid="97" name="toc-depth">
    <vt:lpwstr>2</vt:lpwstr>
  </property>
  <property fmtid="{D5CDD505-2E9C-101B-9397-08002B2CF9AE}" pid="98" name="toc-title">
    <vt:lpwstr>Содержание</vt:lpwstr>
  </property>
</Properties>
</file>