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4-ому</w:t>
      </w:r>
      <w:r>
        <w:t xml:space="preserve"> </w:t>
      </w:r>
      <w:r>
        <w:t xml:space="preserve">этапу</w:t>
      </w:r>
      <w:r>
        <w:t xml:space="preserve"> </w:t>
      </w:r>
      <w:r>
        <w:t xml:space="preserve">индивидуального</w:t>
      </w:r>
      <w:r>
        <w:t xml:space="preserve"> </w:t>
      </w:r>
      <w:r>
        <w:t xml:space="preserve">проекта</w:t>
      </w:r>
    </w:p>
    <w:p>
      <w:pPr>
        <w:pStyle w:val="Subtitle"/>
      </w:pPr>
      <w:r>
        <w:t xml:space="preserve">Информационная</w:t>
      </w:r>
      <w:r>
        <w:t xml:space="preserve"> </w:t>
      </w:r>
      <w:r>
        <w:t xml:space="preserve">безопасность</w:t>
      </w:r>
    </w:p>
    <w:p>
      <w:pPr>
        <w:pStyle w:val="Author"/>
      </w:pPr>
      <w:r>
        <w:t xml:space="preserve">Федорова</w:t>
      </w:r>
      <w:r>
        <w:t xml:space="preserve"> </w:t>
      </w:r>
      <w:r>
        <w:t xml:space="preserve">Анжелика</w:t>
      </w:r>
      <w:r>
        <w:t xml:space="preserve"> </w:t>
      </w:r>
      <w:r>
        <w:t xml:space="preserve">Игоревна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Научиться тестировать веб-приложения с помощью сканера nikto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Использовать nikto</w:t>
      </w:r>
    </w:p>
    <w:bookmarkEnd w:id="21"/>
    <w:bookmarkStart w:id="42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Чтобы работать с nikto, необходимо подготовить веб-приложения, которое будем сканировать.</w:t>
      </w:r>
    </w:p>
    <w:p>
      <w:pPr>
        <w:pStyle w:val="BodyText"/>
      </w:pPr>
      <w:bookmarkStart w:id="25" w:name="fig:001"/>
      <w:r>
        <w:drawing>
          <wp:inline>
            <wp:extent cx="3733800" cy="2238064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380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BodyText"/>
      </w:pPr>
      <w:r>
        <w:t xml:space="preserve">Ввожу в адресной строке браузера адрес DVWA, перехожу в режим выбора уровня безопасности, ставлю минимальный (необязательно, nikto при обычном сканировании для режима impossible и low выдаст одианковые потенциальные уязвимости, что логично, ведь они остаются, но изменяется сложность, с которой их можно использовать</w:t>
      </w:r>
    </w:p>
    <w:p>
      <w:pPr>
        <w:pStyle w:val="BodyText"/>
      </w:pPr>
      <w:bookmarkStart w:id="29" w:name="fig:002"/>
      <w:r>
        <w:drawing>
          <wp:inline>
            <wp:extent cx="3733800" cy="1816579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65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BodyText"/>
      </w:pPr>
      <w:r>
        <w:t xml:space="preserve">Запускаю nikto</w:t>
      </w:r>
    </w:p>
    <w:p>
      <w:pPr>
        <w:pStyle w:val="BodyText"/>
      </w:pPr>
      <w:bookmarkStart w:id="33" w:name="fig:003"/>
      <w:r>
        <w:drawing>
          <wp:inline>
            <wp:extent cx="3416300" cy="46990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6300" cy="469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BodyText"/>
      </w:pPr>
      <w:r>
        <w:t xml:space="preserve">Проверить веб-приложение можно, введя его полный URL и не вводя порт, попробовала просканировать так.</w:t>
      </w:r>
    </w:p>
    <w:p>
      <w:pPr>
        <w:pStyle w:val="BodyText"/>
      </w:pPr>
      <w:bookmarkStart w:id="37" w:name="fig:004"/>
      <w:r>
        <w:drawing>
          <wp:inline>
            <wp:extent cx="3733800" cy="2444975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4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BodyText"/>
      </w:pPr>
      <w:r>
        <w:t xml:space="preserve">Затем попробовала просканировать введя адрес хоста и адрес порта, результаты незначительно отличаются.</w:t>
      </w:r>
    </w:p>
    <w:p>
      <w:pPr>
        <w:pStyle w:val="BodyText"/>
      </w:pPr>
      <w:bookmarkStart w:id="41" w:name="fig:004"/>
      <w:r>
        <w:drawing>
          <wp:inline>
            <wp:extent cx="3733800" cy="2406097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06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bookmarkEnd w:id="42"/>
    <w:bookmarkStart w:id="43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Научилась использовать сканер nikto для тестирования веб-приложений</w:t>
      </w:r>
    </w:p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4-ому этапу индивидуального проекта</dc:title>
  <dc:creator>Федорова Анжелика Игоревна</dc:creator>
  <dc:language>ru-RU</dc:language>
  <cp:keywords/>
  <dcterms:created xsi:type="dcterms:W3CDTF">2025-05-03T20:14:26Z</dcterms:created>
  <dcterms:modified xsi:type="dcterms:W3CDTF">2025-05-03T20:14:26Z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Информационная безопасность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