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BCF" w:rsidRPr="004738E8" w:rsidRDefault="00DC670B" w:rsidP="004738E8">
      <w:pPr>
        <w:jc w:val="center"/>
        <w:rPr>
          <w:b/>
          <w:lang w:val="es-ES"/>
        </w:rPr>
      </w:pPr>
      <w:r w:rsidRPr="004738E8">
        <w:rPr>
          <w:b/>
          <w:lang w:val="es-ES"/>
        </w:rPr>
        <w:t>PROTOCOLO PARA GRAFICOS</w:t>
      </w:r>
      <w:r w:rsidR="005955B8">
        <w:rPr>
          <w:b/>
          <w:lang w:val="es-ES"/>
        </w:rPr>
        <w:t>,</w:t>
      </w:r>
      <w:r w:rsidRPr="004738E8">
        <w:rPr>
          <w:b/>
          <w:lang w:val="es-ES"/>
        </w:rPr>
        <w:t xml:space="preserve"> MAPAS </w:t>
      </w:r>
      <w:r w:rsidR="005955B8">
        <w:rPr>
          <w:b/>
          <w:lang w:val="es-ES"/>
        </w:rPr>
        <w:t>Y TABLAS</w:t>
      </w:r>
    </w:p>
    <w:p w:rsidR="00DC670B" w:rsidRDefault="00DC670B">
      <w:pPr>
        <w:rPr>
          <w:lang w:val="es-ES"/>
        </w:rPr>
      </w:pPr>
    </w:p>
    <w:p w:rsidR="00DC670B" w:rsidRDefault="00DC670B">
      <w:pPr>
        <w:rPr>
          <w:b/>
          <w:lang w:val="es-ES"/>
        </w:rPr>
      </w:pPr>
      <w:r w:rsidRPr="004738E8">
        <w:rPr>
          <w:b/>
          <w:lang w:val="es-ES"/>
        </w:rPr>
        <w:t>Mapas</w:t>
      </w:r>
      <w:r w:rsidR="004738E8" w:rsidRPr="004738E8">
        <w:rPr>
          <w:b/>
          <w:lang w:val="es-ES"/>
        </w:rPr>
        <w:t xml:space="preserve"> de calor</w:t>
      </w:r>
    </w:p>
    <w:p w:rsidR="004738E8" w:rsidRPr="004738E8" w:rsidRDefault="004738E8">
      <w:pPr>
        <w:rPr>
          <w:b/>
          <w:lang w:val="es-ES"/>
        </w:rPr>
      </w:pPr>
      <w:r>
        <w:rPr>
          <w:b/>
          <w:lang w:val="es-ES"/>
        </w:rPr>
        <w:t>Ejemplo:</w:t>
      </w:r>
    </w:p>
    <w:p w:rsidR="00DC670B" w:rsidRDefault="00DC670B">
      <w:pPr>
        <w:rPr>
          <w:lang w:val="es-ES"/>
        </w:rPr>
      </w:pPr>
    </w:p>
    <w:p w:rsidR="00DC670B" w:rsidRPr="004738E8" w:rsidRDefault="00DC670B" w:rsidP="00DC670B">
      <w:pPr>
        <w:jc w:val="center"/>
        <w:rPr>
          <w:b/>
          <w:lang w:val="es-ES"/>
        </w:rPr>
      </w:pPr>
      <w:r w:rsidRPr="004738E8">
        <w:rPr>
          <w:b/>
          <w:lang w:val="es-ES"/>
        </w:rPr>
        <w:t>Chaco – ganado bovino - Concentración de cabezas</w:t>
      </w:r>
      <w:r w:rsidR="004738E8" w:rsidRPr="004738E8">
        <w:rPr>
          <w:b/>
          <w:lang w:val="es-ES"/>
        </w:rPr>
        <w:t xml:space="preserve"> por departamento – año 2009</w:t>
      </w:r>
    </w:p>
    <w:p w:rsidR="00DC670B" w:rsidRDefault="00DC670B">
      <w:pPr>
        <w:rPr>
          <w:lang w:val="es-ES"/>
        </w:rPr>
      </w:pPr>
      <w:r w:rsidRPr="009D3659">
        <w:rPr>
          <w:rFonts w:ascii="Calibri" w:hAnsi="Calibri" w:cs="Arial"/>
          <w:noProof/>
          <w:sz w:val="20"/>
          <w:szCs w:val="20"/>
        </w:rPr>
        <w:drawing>
          <wp:inline distT="0" distB="0" distL="0" distR="0">
            <wp:extent cx="5463540" cy="5463540"/>
            <wp:effectExtent l="0" t="0" r="0" b="0"/>
            <wp:docPr id="1" name="Imagen 1" descr="cha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co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70B" w:rsidRDefault="004738E8">
      <w:pPr>
        <w:rPr>
          <w:lang w:val="es-ES"/>
        </w:rPr>
      </w:pPr>
      <w:r w:rsidRPr="004738E8">
        <w:rPr>
          <w:b/>
          <w:i/>
          <w:lang w:val="es-ES"/>
        </w:rPr>
        <w:t>Fuente</w:t>
      </w:r>
      <w:r>
        <w:rPr>
          <w:lang w:val="es-ES"/>
        </w:rPr>
        <w:t>: SENASA</w:t>
      </w:r>
    </w:p>
    <w:p w:rsidR="004738E8" w:rsidRDefault="004738E8" w:rsidP="004738E8">
      <w:pPr>
        <w:rPr>
          <w:lang w:val="es-ES"/>
        </w:rPr>
      </w:pPr>
    </w:p>
    <w:p w:rsidR="004738E8" w:rsidRDefault="004738E8" w:rsidP="004738E8">
      <w:pPr>
        <w:rPr>
          <w:lang w:val="es-ES"/>
        </w:rPr>
      </w:pPr>
      <w:r>
        <w:rPr>
          <w:lang w:val="es-ES"/>
        </w:rPr>
        <w:t>Título: Parte SUPERIOR (dentro o fuera del gráfico) y debe contener:</w:t>
      </w:r>
    </w:p>
    <w:p w:rsidR="004738E8" w:rsidRDefault="004738E8" w:rsidP="004738E8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Area</w:t>
      </w:r>
      <w:proofErr w:type="spellEnd"/>
      <w:r>
        <w:rPr>
          <w:lang w:val="es-ES"/>
        </w:rPr>
        <w:t xml:space="preserve"> geográfica del mapa (Chaco en este caso) </w:t>
      </w:r>
    </w:p>
    <w:p w:rsidR="004738E8" w:rsidRDefault="004738E8" w:rsidP="004738E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Descripción del sector o subsector (Ganado bovino) </w:t>
      </w:r>
    </w:p>
    <w:p w:rsidR="004738E8" w:rsidRDefault="004738E8" w:rsidP="004738E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Descripción de la variable (“Concentración de cabezas por departamento)</w:t>
      </w:r>
    </w:p>
    <w:p w:rsidR="004738E8" w:rsidRDefault="004738E8" w:rsidP="004738E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Año de referencia (2009)</w:t>
      </w:r>
    </w:p>
    <w:p w:rsidR="004738E8" w:rsidRDefault="004738E8" w:rsidP="004738E8">
      <w:pPr>
        <w:rPr>
          <w:lang w:val="es-ES"/>
        </w:rPr>
      </w:pPr>
      <w:r>
        <w:rPr>
          <w:lang w:val="es-ES"/>
        </w:rPr>
        <w:t>Departamentos: con nombre (para el caso de mapas nacionales NO será necesario agregar nombres).</w:t>
      </w:r>
    </w:p>
    <w:p w:rsidR="004738E8" w:rsidRDefault="004738E8" w:rsidP="004738E8">
      <w:pPr>
        <w:rPr>
          <w:lang w:val="es-ES"/>
        </w:rPr>
      </w:pPr>
      <w:r>
        <w:rPr>
          <w:lang w:val="es-ES"/>
        </w:rPr>
        <w:lastRenderedPageBreak/>
        <w:t xml:space="preserve">Escala de referencia: En quintiles proporcionales con detalle de color, mínimo y máximo de cada </w:t>
      </w:r>
      <w:proofErr w:type="spellStart"/>
      <w:r>
        <w:rPr>
          <w:lang w:val="es-ES"/>
        </w:rPr>
        <w:t>subescala</w:t>
      </w:r>
      <w:proofErr w:type="spellEnd"/>
      <w:r>
        <w:rPr>
          <w:lang w:val="es-ES"/>
        </w:rPr>
        <w:t>.</w:t>
      </w:r>
    </w:p>
    <w:p w:rsidR="005955B8" w:rsidRDefault="005955B8" w:rsidP="004738E8">
      <w:pPr>
        <w:rPr>
          <w:lang w:val="es-ES"/>
        </w:rPr>
      </w:pPr>
    </w:p>
    <w:p w:rsidR="00A157E6" w:rsidRDefault="00A157E6" w:rsidP="004738E8">
      <w:pPr>
        <w:rPr>
          <w:lang w:val="es-ES"/>
        </w:rPr>
      </w:pPr>
      <w:r>
        <w:rPr>
          <w:lang w:val="es-ES"/>
        </w:rPr>
        <w:t>COLORES: SIEMPRE SE CONSERVARÁ LA MISMA ESCALA DE COLORES PARA EL MISMO TIPO DE VARIABLE.</w:t>
      </w:r>
      <w:bookmarkStart w:id="0" w:name="_GoBack"/>
      <w:bookmarkEnd w:id="0"/>
    </w:p>
    <w:p w:rsidR="005955B8" w:rsidRDefault="005955B8" w:rsidP="004738E8">
      <w:pPr>
        <w:rPr>
          <w:lang w:val="es-ES"/>
        </w:rPr>
      </w:pPr>
    </w:p>
    <w:p w:rsidR="005955B8" w:rsidRPr="005955B8" w:rsidRDefault="005955B8" w:rsidP="004738E8">
      <w:pPr>
        <w:rPr>
          <w:b/>
          <w:lang w:val="es-ES"/>
        </w:rPr>
      </w:pPr>
      <w:r w:rsidRPr="005955B8">
        <w:rPr>
          <w:b/>
          <w:lang w:val="es-ES"/>
        </w:rPr>
        <w:t>Gráficos</w:t>
      </w:r>
    </w:p>
    <w:p w:rsidR="005955B8" w:rsidRDefault="005955B8" w:rsidP="004738E8">
      <w:pPr>
        <w:rPr>
          <w:lang w:val="es-ES"/>
        </w:rPr>
      </w:pPr>
    </w:p>
    <w:p w:rsidR="005955B8" w:rsidRDefault="005955B8" w:rsidP="005955B8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Tipo de gráfico y variable (distribución porcentual)</w:t>
      </w:r>
    </w:p>
    <w:p w:rsidR="005955B8" w:rsidRDefault="00A157E6" w:rsidP="005955B8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Sector/subsector y variables (“stock”, “bovino” y “estrato”)</w:t>
      </w:r>
    </w:p>
    <w:p w:rsidR="00A157E6" w:rsidRDefault="00A157E6" w:rsidP="005955B8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Area</w:t>
      </w:r>
      <w:proofErr w:type="spellEnd"/>
      <w:r>
        <w:rPr>
          <w:lang w:val="es-ES"/>
        </w:rPr>
        <w:t>/s geográficas (en este caso comparada “</w:t>
      </w:r>
      <w:proofErr w:type="spellStart"/>
      <w:r>
        <w:rPr>
          <w:lang w:val="es-ES"/>
        </w:rPr>
        <w:t>Sgo</w:t>
      </w:r>
      <w:proofErr w:type="spellEnd"/>
      <w:r>
        <w:rPr>
          <w:lang w:val="es-ES"/>
        </w:rPr>
        <w:t xml:space="preserve"> del estero” y “país”)</w:t>
      </w:r>
    </w:p>
    <w:p w:rsidR="00A157E6" w:rsidRDefault="00A157E6" w:rsidP="005955B8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Año o período de referencia. (en este caso NO hay un rango de períodos)</w:t>
      </w:r>
    </w:p>
    <w:p w:rsidR="00A157E6" w:rsidRPr="005955B8" w:rsidRDefault="00A157E6" w:rsidP="005955B8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Las escalas verticales deben tener UN MÍNIMO DE 5 ESCALAS (los intervalos, en este caso 5% los elige cada uno: 0%; 5%; 10%, 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>)</w:t>
      </w: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  <w:r>
        <w:rPr>
          <w:noProof/>
        </w:rPr>
        <w:drawing>
          <wp:inline distT="0" distB="0" distL="0" distR="0" wp14:anchorId="6CF31AA9" wp14:editId="7F7C6738">
            <wp:extent cx="5890260" cy="2820035"/>
            <wp:effectExtent l="0" t="0" r="0" b="0"/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Default="005955B8" w:rsidP="004738E8">
      <w:pPr>
        <w:rPr>
          <w:lang w:val="es-ES"/>
        </w:rPr>
      </w:pPr>
    </w:p>
    <w:p w:rsidR="005955B8" w:rsidRPr="005955B8" w:rsidRDefault="005955B8" w:rsidP="005955B8">
      <w:pPr>
        <w:jc w:val="center"/>
        <w:rPr>
          <w:rFonts w:ascii="Calibri" w:hAnsi="Calibri" w:cs="Arial"/>
          <w:b/>
          <w:color w:val="000000"/>
          <w:sz w:val="20"/>
          <w:szCs w:val="20"/>
          <w:lang w:val="es-ES"/>
        </w:rPr>
      </w:pPr>
      <w:r w:rsidRPr="005955B8">
        <w:rPr>
          <w:rFonts w:ascii="Calibri" w:hAnsi="Calibri" w:cs="Arial"/>
          <w:b/>
          <w:color w:val="000000"/>
          <w:sz w:val="20"/>
          <w:szCs w:val="20"/>
          <w:lang w:val="es-ES"/>
        </w:rPr>
        <w:t>Tabla 2 – Diferencias y variaciones por categorías del stock entre 2009 y 2008 (parte I)</w:t>
      </w:r>
    </w:p>
    <w:tbl>
      <w:tblPr>
        <w:tblW w:w="507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8"/>
        <w:gridCol w:w="946"/>
        <w:gridCol w:w="686"/>
        <w:gridCol w:w="1057"/>
        <w:gridCol w:w="686"/>
        <w:gridCol w:w="837"/>
        <w:gridCol w:w="720"/>
        <w:gridCol w:w="901"/>
        <w:gridCol w:w="686"/>
      </w:tblGrid>
      <w:tr w:rsidR="005955B8" w:rsidRPr="00434577" w:rsidTr="00686972">
        <w:trPr>
          <w:trHeight w:val="300"/>
        </w:trPr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5955B8" w:rsidRDefault="005955B8" w:rsidP="00686972">
            <w:pPr>
              <w:jc w:val="center"/>
              <w:rPr>
                <w:rFonts w:ascii="Calibri" w:hAnsi="Calibri" w:cs="Arial"/>
                <w:b/>
                <w:bCs/>
                <w:color w:val="000000"/>
                <w:sz w:val="16"/>
                <w:szCs w:val="16"/>
                <w:lang w:val="es-ES"/>
              </w:rPr>
            </w:pP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955B8" w:rsidRPr="00434577" w:rsidRDefault="005955B8" w:rsidP="00686972">
            <w:pPr>
              <w:jc w:val="center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5955B8">
              <w:rPr>
                <w:rFonts w:ascii="Calibri" w:hAnsi="Calibri" w:cs="Arial"/>
                <w:b/>
                <w:bCs/>
                <w:color w:val="000000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Vacas</w:t>
            </w:r>
            <w:proofErr w:type="spellEnd"/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434577" w:rsidRDefault="005955B8" w:rsidP="00686972">
            <w:pPr>
              <w:jc w:val="center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Var</w:t>
            </w:r>
            <w:proofErr w:type="spellEnd"/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%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955B8" w:rsidRPr="00434577" w:rsidRDefault="005955B8" w:rsidP="00686972">
            <w:pPr>
              <w:jc w:val="center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Vaquillonas</w:t>
            </w:r>
            <w:proofErr w:type="spellEnd"/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434577" w:rsidRDefault="005955B8" w:rsidP="00686972">
            <w:pPr>
              <w:jc w:val="center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Var</w:t>
            </w:r>
            <w:proofErr w:type="spellEnd"/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%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955B8" w:rsidRPr="00434577" w:rsidRDefault="005955B8" w:rsidP="00686972">
            <w:pPr>
              <w:jc w:val="center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Novillos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434577" w:rsidRDefault="005955B8" w:rsidP="00686972">
            <w:pPr>
              <w:jc w:val="center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Var</w:t>
            </w:r>
            <w:proofErr w:type="spellEnd"/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%</w:t>
            </w:r>
          </w:p>
        </w:tc>
        <w:tc>
          <w:tcPr>
            <w:tcW w:w="50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955B8" w:rsidRPr="00434577" w:rsidRDefault="005955B8" w:rsidP="00686972">
            <w:pPr>
              <w:jc w:val="center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Novillitos</w:t>
            </w:r>
            <w:proofErr w:type="spellEnd"/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434577" w:rsidRDefault="005955B8" w:rsidP="00686972">
            <w:pPr>
              <w:jc w:val="center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Var</w:t>
            </w:r>
            <w:proofErr w:type="spellEnd"/>
            <w:r w:rsidRPr="00434577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%</w:t>
            </w:r>
          </w:p>
        </w:tc>
      </w:tr>
      <w:tr w:rsidR="005955B8" w:rsidRPr="00434577" w:rsidTr="00686972">
        <w:trPr>
          <w:trHeight w:val="300"/>
        </w:trPr>
        <w:tc>
          <w:tcPr>
            <w:tcW w:w="1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8C78C0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8C78C0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CHACO</w:t>
            </w:r>
          </w:p>
        </w:tc>
        <w:tc>
          <w:tcPr>
            <w:tcW w:w="5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-12.855 </w:t>
            </w: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>-1,15%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  3.087 </w:t>
            </w: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0,73%</w:t>
            </w:r>
          </w:p>
        </w:tc>
        <w:tc>
          <w:tcPr>
            <w:tcW w:w="4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13.547 </w:t>
            </w:r>
          </w:p>
        </w:tc>
        <w:tc>
          <w:tcPr>
            <w:tcW w:w="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7,08%</w:t>
            </w:r>
          </w:p>
        </w:tc>
        <w:tc>
          <w:tcPr>
            <w:tcW w:w="5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-4.561 </w:t>
            </w: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>-1,82%</w:t>
            </w:r>
          </w:p>
        </w:tc>
      </w:tr>
      <w:tr w:rsidR="005955B8" w:rsidRPr="00434577" w:rsidTr="00686972">
        <w:trPr>
          <w:trHeight w:val="300"/>
        </w:trPr>
        <w:tc>
          <w:tcPr>
            <w:tcW w:w="136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8C78C0" w:rsidRDefault="005955B8" w:rsidP="00686972">
            <w:pPr>
              <w:ind w:firstLineChars="100" w:firstLine="160"/>
              <w:rPr>
                <w:rFonts w:ascii="Calibri" w:hAnsi="Calibri" w:cs="Arial"/>
                <w:color w:val="000000"/>
                <w:sz w:val="16"/>
                <w:szCs w:val="16"/>
              </w:rPr>
            </w:pPr>
            <w:r w:rsidRPr="008C78C0">
              <w:rPr>
                <w:rFonts w:ascii="Calibri" w:hAnsi="Calibri" w:cs="Arial"/>
                <w:color w:val="000000"/>
                <w:sz w:val="16"/>
                <w:szCs w:val="16"/>
              </w:rPr>
              <w:t>2 DE ABRIL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 xml:space="preserve">             -852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>-6,95%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        84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1,66%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 xml:space="preserve">          -487 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>-20,60%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 xml:space="preserve">              -84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>-3,70%</w:t>
            </w:r>
          </w:p>
        </w:tc>
      </w:tr>
      <w:tr w:rsidR="005955B8" w:rsidRPr="00434577" w:rsidTr="00686972">
        <w:trPr>
          <w:trHeight w:val="300"/>
        </w:trPr>
        <w:tc>
          <w:tcPr>
            <w:tcW w:w="136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8C78C0" w:rsidRDefault="005955B8" w:rsidP="00686972">
            <w:pPr>
              <w:ind w:firstLineChars="100" w:firstLine="160"/>
              <w:rPr>
                <w:rFonts w:ascii="Calibri" w:hAnsi="Calibri" w:cs="Arial"/>
                <w:color w:val="000000"/>
                <w:sz w:val="16"/>
                <w:szCs w:val="16"/>
              </w:rPr>
            </w:pPr>
            <w:r w:rsidRPr="008C78C0">
              <w:rPr>
                <w:rFonts w:ascii="Calibri" w:hAnsi="Calibri" w:cs="Arial"/>
                <w:color w:val="000000"/>
                <w:sz w:val="16"/>
                <w:szCs w:val="16"/>
              </w:rPr>
              <w:t>ALMIRANTE BROWN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14.952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25,62%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  6.214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25,78%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4.047 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47,87%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 118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0,53%</w:t>
            </w:r>
          </w:p>
        </w:tc>
      </w:tr>
      <w:tr w:rsidR="005955B8" w:rsidRPr="00434577" w:rsidTr="00686972">
        <w:trPr>
          <w:trHeight w:val="300"/>
        </w:trPr>
        <w:tc>
          <w:tcPr>
            <w:tcW w:w="136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8C78C0" w:rsidRDefault="005955B8" w:rsidP="00686972">
            <w:pPr>
              <w:ind w:firstLineChars="100" w:firstLine="160"/>
              <w:rPr>
                <w:rFonts w:ascii="Calibri" w:hAnsi="Calibri" w:cs="Arial"/>
                <w:color w:val="000000"/>
                <w:sz w:val="16"/>
                <w:szCs w:val="16"/>
              </w:rPr>
            </w:pPr>
            <w:r w:rsidRPr="008C78C0">
              <w:rPr>
                <w:rFonts w:ascii="Calibri" w:hAnsi="Calibri" w:cs="Arial"/>
                <w:color w:val="000000"/>
                <w:sz w:val="16"/>
                <w:szCs w:val="16"/>
              </w:rPr>
              <w:t>BERMEJO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3.072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5,88%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 xml:space="preserve">                -843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>-3,63%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787 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9,02%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1.086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11,76%</w:t>
            </w:r>
          </w:p>
        </w:tc>
      </w:tr>
      <w:tr w:rsidR="005955B8" w:rsidRPr="00434577" w:rsidTr="00686972">
        <w:trPr>
          <w:trHeight w:val="300"/>
        </w:trPr>
        <w:tc>
          <w:tcPr>
            <w:tcW w:w="136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8C78C0" w:rsidRDefault="005955B8" w:rsidP="00686972">
            <w:pPr>
              <w:ind w:firstLineChars="100" w:firstLine="160"/>
              <w:rPr>
                <w:rFonts w:ascii="Calibri" w:hAnsi="Calibri" w:cs="Arial"/>
                <w:color w:val="000000"/>
                <w:sz w:val="16"/>
                <w:szCs w:val="16"/>
              </w:rPr>
            </w:pPr>
            <w:r w:rsidRPr="008C78C0">
              <w:rPr>
                <w:rFonts w:ascii="Calibri" w:hAnsi="Calibri" w:cs="Arial"/>
                <w:color w:val="000000"/>
                <w:sz w:val="16"/>
                <w:szCs w:val="16"/>
              </w:rPr>
              <w:t>CHACABUCO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   480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4,48%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 xml:space="preserve">            -1.153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>-19,78%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937 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30,20%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 xml:space="preserve">            -446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>-14,49%</w:t>
            </w:r>
          </w:p>
        </w:tc>
      </w:tr>
      <w:tr w:rsidR="005955B8" w:rsidRPr="00434577" w:rsidTr="00686972">
        <w:trPr>
          <w:trHeight w:val="300"/>
        </w:trPr>
        <w:tc>
          <w:tcPr>
            <w:tcW w:w="136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8C78C0" w:rsidRDefault="005955B8" w:rsidP="00686972">
            <w:pPr>
              <w:ind w:firstLineChars="100" w:firstLine="160"/>
              <w:rPr>
                <w:rFonts w:ascii="Calibri" w:hAnsi="Calibri" w:cs="Arial"/>
                <w:color w:val="000000"/>
                <w:sz w:val="16"/>
                <w:szCs w:val="16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</w:rPr>
              <w:t>CD</w:t>
            </w:r>
            <w:r w:rsidRPr="008C78C0">
              <w:rPr>
                <w:rFonts w:ascii="Calibri" w:hAnsi="Calibri" w:cs="Arial"/>
                <w:color w:val="000000"/>
                <w:sz w:val="16"/>
                <w:szCs w:val="16"/>
              </w:rPr>
              <w:t>TE FERNANDEZ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   815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4,36%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  1.584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25,33%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321 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16,77%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1.591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48,57%</w:t>
            </w:r>
          </w:p>
        </w:tc>
      </w:tr>
      <w:tr w:rsidR="005955B8" w:rsidRPr="00434577" w:rsidTr="00686972">
        <w:trPr>
          <w:trHeight w:val="300"/>
        </w:trPr>
        <w:tc>
          <w:tcPr>
            <w:tcW w:w="136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8C78C0" w:rsidRDefault="005955B8" w:rsidP="00686972">
            <w:pPr>
              <w:ind w:firstLineChars="100" w:firstLine="160"/>
              <w:rPr>
                <w:rFonts w:ascii="Calibri" w:hAnsi="Calibri" w:cs="Arial"/>
                <w:color w:val="000000"/>
                <w:sz w:val="16"/>
                <w:szCs w:val="16"/>
              </w:rPr>
            </w:pPr>
            <w:r w:rsidRPr="008C78C0">
              <w:rPr>
                <w:rFonts w:ascii="Calibri" w:hAnsi="Calibri" w:cs="Arial"/>
                <w:color w:val="000000"/>
                <w:sz w:val="16"/>
                <w:szCs w:val="16"/>
              </w:rPr>
              <w:t>12 DE OCTUBRE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2.761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21,81%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      407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7,96%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  20 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0,76%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 473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16,37%</w:t>
            </w:r>
          </w:p>
        </w:tc>
      </w:tr>
      <w:tr w:rsidR="005955B8" w:rsidRPr="00434577" w:rsidTr="00686972">
        <w:trPr>
          <w:trHeight w:val="300"/>
        </w:trPr>
        <w:tc>
          <w:tcPr>
            <w:tcW w:w="136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5955B8" w:rsidRDefault="005955B8" w:rsidP="00686972">
            <w:pPr>
              <w:ind w:firstLineChars="100" w:firstLine="160"/>
              <w:rPr>
                <w:rFonts w:ascii="Calibri" w:hAnsi="Calibri" w:cs="Arial"/>
                <w:color w:val="000000"/>
                <w:sz w:val="16"/>
                <w:szCs w:val="16"/>
                <w:lang w:val="es-ES"/>
              </w:rPr>
            </w:pPr>
            <w:r w:rsidRPr="005955B8">
              <w:rPr>
                <w:rFonts w:ascii="Calibri" w:hAnsi="Calibri" w:cs="Arial"/>
                <w:color w:val="000000"/>
                <w:sz w:val="16"/>
                <w:szCs w:val="16"/>
                <w:lang w:val="es-ES"/>
              </w:rPr>
              <w:t>FR J. SANTA M. DE ORO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5955B8">
              <w:rPr>
                <w:rFonts w:ascii="Calibri" w:hAnsi="Calibri" w:cs="Arial"/>
                <w:b/>
                <w:bCs/>
                <w:color w:val="FF0000"/>
                <w:sz w:val="16"/>
                <w:szCs w:val="16"/>
                <w:lang w:val="es-ES"/>
              </w:rPr>
              <w:t xml:space="preserve">          </w:t>
            </w: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 xml:space="preserve">-6.630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>-17,59%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 xml:space="preserve">            -1.926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>-13,98%</w:t>
            </w:r>
          </w:p>
        </w:tc>
        <w:tc>
          <w:tcPr>
            <w:tcW w:w="4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 xml:space="preserve">            202 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000000"/>
                <w:sz w:val="16"/>
                <w:szCs w:val="16"/>
              </w:rPr>
              <w:t>7,17%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 xml:space="preserve">        -1.829 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55B8" w:rsidRPr="00E84416" w:rsidRDefault="005955B8" w:rsidP="00686972">
            <w:pPr>
              <w:jc w:val="right"/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</w:pPr>
            <w:r w:rsidRPr="00E84416">
              <w:rPr>
                <w:rFonts w:ascii="Calibri" w:hAnsi="Calibri" w:cs="Arial"/>
                <w:b/>
                <w:bCs/>
                <w:color w:val="FF0000"/>
                <w:sz w:val="16"/>
                <w:szCs w:val="16"/>
              </w:rPr>
              <w:t>-22,07%</w:t>
            </w:r>
          </w:p>
        </w:tc>
      </w:tr>
    </w:tbl>
    <w:p w:rsidR="005955B8" w:rsidRPr="004738E8" w:rsidRDefault="005955B8" w:rsidP="004738E8">
      <w:pPr>
        <w:rPr>
          <w:lang w:val="es-ES"/>
        </w:rPr>
      </w:pPr>
    </w:p>
    <w:sectPr w:rsidR="005955B8" w:rsidRPr="004738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32A47"/>
    <w:multiLevelType w:val="hybridMultilevel"/>
    <w:tmpl w:val="832254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36B5D"/>
    <w:multiLevelType w:val="hybridMultilevel"/>
    <w:tmpl w:val="7FC8A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05C19"/>
    <w:multiLevelType w:val="hybridMultilevel"/>
    <w:tmpl w:val="0600A0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70B"/>
    <w:rsid w:val="00073E5A"/>
    <w:rsid w:val="004738E8"/>
    <w:rsid w:val="005955B8"/>
    <w:rsid w:val="009B0BCF"/>
    <w:rsid w:val="00A157E6"/>
    <w:rsid w:val="00DC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E212"/>
  <w15:chartTrackingRefBased/>
  <w15:docId w15:val="{54A31468-9E00-4B74-B84B-4FF2B94A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38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Disco%20JC\000000000000000000000%20-%2002%20-%20SECTORIAL%20-%20OK\Bovinos-Senasa\001-PROVINCIAS\NOA\01-Santiago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25" b="1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r>
              <a:rPr lang="en-US"/>
              <a:t>Distribución porcentual del stock bovino por estrato - </a:t>
            </a:r>
          </a:p>
          <a:p>
            <a:pPr>
              <a:defRPr sz="1025" b="1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r>
              <a:rPr lang="en-US"/>
              <a:t>Santiago</a:t>
            </a:r>
            <a:r>
              <a:rPr lang="en-US" baseline="0"/>
              <a:t> del Estero/</a:t>
            </a:r>
            <a:r>
              <a:rPr lang="en-US"/>
              <a:t>País - año 2010</a:t>
            </a:r>
          </a:p>
        </c:rich>
      </c:tx>
      <c:layout>
        <c:manualLayout>
          <c:xMode val="edge"/>
          <c:yMode val="edge"/>
          <c:x val="0.23229466950525104"/>
          <c:y val="1.195127010834972E-2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7.4120648482063956E-2"/>
          <c:y val="0.13473103133709874"/>
          <c:w val="0.90201060356138829"/>
          <c:h val="0.6381259842519684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EstratTotalProv!$C$71</c:f>
              <c:strCache>
                <c:ptCount val="1"/>
                <c:pt idx="0">
                  <c:v>Sgo. del Estero</c:v>
                </c:pt>
              </c:strCache>
            </c:strRef>
          </c:tx>
          <c:spPr>
            <a:pattFill prst="pct20">
              <a:fgClr>
                <a:srgbClr xmlns:mc="http://schemas.openxmlformats.org/markup-compatibility/2006" xmlns:a14="http://schemas.microsoft.com/office/drawing/2010/main" val="000000" mc:Ignorable="a14" a14:legacySpreadsheetColorIndex="8"/>
              </a:fgClr>
              <a:bgClr>
                <a:srgbClr xmlns:mc="http://schemas.openxmlformats.org/markup-compatibility/2006" xmlns:a14="http://schemas.microsoft.com/office/drawing/2010/main" val="FFFFFF" mc:Ignorable="a14" a14:legacySpreadsheetColorIndex="9"/>
              </a:bgClr>
            </a:pattFill>
            <a:ln w="25400">
              <a:solidFill>
                <a:srgbClr val="000000"/>
              </a:solidFill>
              <a:prstDash val="solid"/>
            </a:ln>
          </c:spPr>
          <c:invertIfNegative val="0"/>
          <c:cat>
            <c:strRef>
              <c:f>EstratTotalProv!$D$43:$J$43</c:f>
              <c:strCache>
                <c:ptCount val="7"/>
                <c:pt idx="0">
                  <c:v>100</c:v>
                </c:pt>
                <c:pt idx="1">
                  <c:v>101-250</c:v>
                </c:pt>
                <c:pt idx="2">
                  <c:v>251-500</c:v>
                </c:pt>
                <c:pt idx="3">
                  <c:v>501-1.000</c:v>
                </c:pt>
                <c:pt idx="4">
                  <c:v>1.001-5.000</c:v>
                </c:pt>
                <c:pt idx="5">
                  <c:v>5.001-10.000</c:v>
                </c:pt>
                <c:pt idx="6">
                  <c:v>+10.000</c:v>
                </c:pt>
              </c:strCache>
            </c:strRef>
          </c:cat>
          <c:val>
            <c:numRef>
              <c:f>EstratTotalProv!$D$71:$J$71</c:f>
              <c:numCache>
                <c:formatCode>0.00%</c:formatCode>
                <c:ptCount val="7"/>
                <c:pt idx="0">
                  <c:v>0.13523359947599634</c:v>
                </c:pt>
                <c:pt idx="1">
                  <c:v>0.13000560894721191</c:v>
                </c:pt>
                <c:pt idx="2">
                  <c:v>0.15191513549936569</c:v>
                </c:pt>
                <c:pt idx="3">
                  <c:v>0.1663365293039259</c:v>
                </c:pt>
                <c:pt idx="4">
                  <c:v>0.31844515466013168</c:v>
                </c:pt>
                <c:pt idx="5">
                  <c:v>8.3337662386550576E-2</c:v>
                </c:pt>
                <c:pt idx="6">
                  <c:v>1.472630972681792E-2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6F-487D-85D4-B333D4E951A8}"/>
            </c:ext>
          </c:extLst>
        </c:ser>
        <c:ser>
          <c:idx val="1"/>
          <c:order val="1"/>
          <c:tx>
            <c:strRef>
              <c:f>EstratTotalProv!$C$72</c:f>
              <c:strCache>
                <c:ptCount val="1"/>
                <c:pt idx="0">
                  <c:v>Total País</c:v>
                </c:pt>
              </c:strCache>
            </c:strRef>
          </c:tx>
          <c:spPr>
            <a:pattFill prst="narVert">
              <a:fgClr>
                <a:srgbClr xmlns:mc="http://schemas.openxmlformats.org/markup-compatibility/2006" xmlns:a14="http://schemas.microsoft.com/office/drawing/2010/main" val="000000" mc:Ignorable="a14" a14:legacySpreadsheetColorIndex="8"/>
              </a:fgClr>
              <a:bgClr>
                <a:srgbClr xmlns:mc="http://schemas.openxmlformats.org/markup-compatibility/2006" xmlns:a14="http://schemas.microsoft.com/office/drawing/2010/main" val="FFFFFF" mc:Ignorable="a14" a14:legacySpreadsheetColorIndex="9"/>
              </a:bgClr>
            </a:pattFill>
            <a:ln w="25400">
              <a:solidFill>
                <a:srgbClr val="000000"/>
              </a:solidFill>
              <a:prstDash val="solid"/>
            </a:ln>
          </c:spPr>
          <c:invertIfNegative val="0"/>
          <c:cat>
            <c:strRef>
              <c:f>EstratTotalProv!$D$43:$J$43</c:f>
              <c:strCache>
                <c:ptCount val="7"/>
                <c:pt idx="0">
                  <c:v>100</c:v>
                </c:pt>
                <c:pt idx="1">
                  <c:v>101-250</c:v>
                </c:pt>
                <c:pt idx="2">
                  <c:v>251-500</c:v>
                </c:pt>
                <c:pt idx="3">
                  <c:v>501-1.000</c:v>
                </c:pt>
                <c:pt idx="4">
                  <c:v>1.001-5.000</c:v>
                </c:pt>
                <c:pt idx="5">
                  <c:v>5.001-10.000</c:v>
                </c:pt>
                <c:pt idx="6">
                  <c:v>+10.000</c:v>
                </c:pt>
              </c:strCache>
            </c:strRef>
          </c:cat>
          <c:val>
            <c:numRef>
              <c:f>EstratTotalProv!$D$72:$J$72</c:f>
              <c:numCache>
                <c:formatCode>0.00%</c:formatCode>
                <c:ptCount val="7"/>
                <c:pt idx="0">
                  <c:v>8.9156034996955957E-2</c:v>
                </c:pt>
                <c:pt idx="1">
                  <c:v>0.15212735641941982</c:v>
                </c:pt>
                <c:pt idx="2">
                  <c:v>0.18464816046123061</c:v>
                </c:pt>
                <c:pt idx="3">
                  <c:v>0.20002646387745079</c:v>
                </c:pt>
                <c:pt idx="4">
                  <c:v>0.30484638090949734</c:v>
                </c:pt>
                <c:pt idx="5">
                  <c:v>4.7591608397208544E-2</c:v>
                </c:pt>
                <c:pt idx="6">
                  <c:v>2.1603994938236958E-2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26F-487D-85D4-B333D4E951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476660568"/>
        <c:axId val="1"/>
      </c:barChart>
      <c:catAx>
        <c:axId val="47666056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925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ysDash"/>
            </a:ln>
          </c:spPr>
        </c:majorGridlines>
        <c:numFmt formatCode="0%" sourceLinked="0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925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476660568"/>
        <c:crosses val="autoZero"/>
        <c:crossBetween val="between"/>
      </c:valAx>
      <c:spPr>
        <a:pattFill prst="pct75">
          <a:fgClr>
            <a:srgbClr xmlns:mc="http://schemas.openxmlformats.org/markup-compatibility/2006" xmlns:a14="http://schemas.microsoft.com/office/drawing/2010/main" val="FFFFFF" mc:Ignorable="a14" a14:legacySpreadsheetColorIndex="9"/>
          </a:fgClr>
          <a:bgClr>
            <a:srgbClr xmlns:mc="http://schemas.openxmlformats.org/markup-compatibility/2006" xmlns:a14="http://schemas.microsoft.com/office/drawing/2010/main" val="FFFF99" mc:Ignorable="a14" a14:legacySpreadsheetColorIndex="43"/>
          </a:bgClr>
        </a:pattFill>
        <a:ln w="12700">
          <a:solidFill>
            <a:srgbClr val="808080"/>
          </a:solidFill>
          <a:prstDash val="solid"/>
        </a:ln>
      </c:spPr>
    </c:plotArea>
    <c:legend>
      <c:legendPos val="b"/>
      <c:layout>
        <c:manualLayout>
          <c:xMode val="edge"/>
          <c:yMode val="edge"/>
          <c:x val="0.32663336619214617"/>
          <c:y val="0.877248715150443"/>
          <c:w val="0.43426506513569713"/>
          <c:h val="9.2814710476668047E-2"/>
        </c:manualLayout>
      </c:layout>
      <c:overlay val="0"/>
      <c:spPr>
        <a:solidFill>
          <a:srgbClr val="FFFFFF"/>
        </a:solidFill>
        <a:ln w="3175">
          <a:noFill/>
          <a:prstDash val="solid"/>
        </a:ln>
      </c:spPr>
      <c:txPr>
        <a:bodyPr/>
        <a:lstStyle/>
        <a:p>
          <a:pPr>
            <a:defRPr sz="1200" b="0" i="0" u="none" strike="noStrike" baseline="0">
              <a:solidFill>
                <a:srgbClr val="000000"/>
              </a:solidFill>
              <a:latin typeface="Calibri"/>
              <a:ea typeface="Calibri"/>
              <a:cs typeface="Calibri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rgbClr val="FFFFFF"/>
    </a:solidFill>
    <a:ln w="3175">
      <a:noFill/>
      <a:prstDash val="solid"/>
    </a:ln>
  </c:spPr>
  <c:txPr>
    <a:bodyPr/>
    <a:lstStyle/>
    <a:p>
      <a:pPr>
        <a:defRPr sz="1025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2026-07-29T16:09:00Z</dcterms:created>
  <dcterms:modified xsi:type="dcterms:W3CDTF">2026-07-29T16:57:00Z</dcterms:modified>
</cp:coreProperties>
</file>