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 w:before="0"/>
      </w:pPr>
      <w:r>
        <w:rPr>
          <w:rFonts w:ascii="Calibri" w:cs="Calibri" w:eastAsia="Calibri" w:hAnsi="Calibri"/>
          <w:b/>
          <w:bCs/>
          <w:color w:val="5B6861"/>
          <w:sz w:val="15"/>
          <w:szCs w:val="15"/>
        </w:rPr>
        <w:t xml:space="preserve">GRUPA AZOTY · STRATEGIA</w:t>
      </w:r>
    </w:p>
    <w:p>
      <w:pPr>
        <w:pStyle w:val="Heading1"/>
        <w:spacing w:after="20"/>
      </w:pPr>
      <w:r>
        <w:rPr>
          <w:rFonts w:ascii="Calibri" w:cs="Calibri" w:eastAsia="Calibri" w:hAnsi="Calibri"/>
          <w:b/>
          <w:bCs/>
          <w:color w:val="18221D"/>
          <w:sz w:val="30"/>
          <w:szCs w:val="30"/>
        </w:rPr>
        <w:t xml:space="preserve">Rola strategii we wspieraniu procesów Grupy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Angelika Pruchniak</w:t>
      </w:r>
      <w:r>
        <w:rPr>
          <w:rFonts w:ascii="Calibri" w:cs="Calibri" w:eastAsia="Calibri" w:hAnsi="Calibri"/>
          <w:color w:val="5B6861"/>
          <w:sz w:val="18"/>
          <w:szCs w:val="18"/>
        </w:rPr>
        <w:t xml:space="preserve"> · Manager ds. projektów strategicznych</w:t>
      </w:r>
    </w:p>
    <w:p>
      <w:pPr>
        <w:keepNext/>
        <w:spacing w:after="30" w:before="0"/>
      </w:pPr>
      <w:r>
        <w:rPr>
          <w:rFonts w:ascii="Calibri" w:cs="Calibri" w:eastAsia="Calibri" w:hAnsi="Calibri"/>
          <w:b/>
          <w:bCs/>
          <w:color w:val="0F4C5C"/>
          <w:sz w:val="15"/>
          <w:szCs w:val="15"/>
        </w:rPr>
        <w:t xml:space="preserve">PO CO: CELE STRATEGII, KTÓRYM SŁUŻĄ PROCESY</w:t>
      </w:r>
    </w:p>
    <w:tbl>
      <w:tblPr>
        <w:tblW w:type="dxa" w:w="1483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67"/>
        <w:gridCol w:w="2967"/>
        <w:gridCol w:w="2967"/>
        <w:gridCol w:w="2967"/>
        <w:gridCol w:w="2967"/>
      </w:tblGrid>
      <w:tr>
        <w:trPr>
          <w:cantSplit/>
        </w:trPr>
        <w:tc>
          <w:tcPr>
            <w:tcW w:type="dxa" w:w="2967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24"/>
            </w:tcBorders>
            <w:shd w:fill="E3EE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F4C5C"/>
                <w:sz w:val="17"/>
                <w:szCs w:val="17"/>
              </w:rPr>
              <w:t xml:space="preserve">Cel 1 · Rdzeń nawozowy: ponad 50% rynku w Polsce, marża EBITDA nawozów 9–10%</w:t>
            </w:r>
          </w:p>
        </w:tc>
        <w:tc>
          <w:tcPr>
            <w:tcW w:type="dxa" w:w="2967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24"/>
            </w:tcBorders>
            <w:shd w:fill="E3EE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F4C5C"/>
                <w:sz w:val="17"/>
                <w:szCs w:val="17"/>
              </w:rPr>
              <w:t xml:space="preserve">Cel 2 · Udziały: AN/CAN i NPK do 60%, głównie z obecnych mocy</w:t>
            </w:r>
          </w:p>
        </w:tc>
        <w:tc>
          <w:tcPr>
            <w:tcW w:type="dxa" w:w="2967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24"/>
            </w:tcBorders>
            <w:shd w:fill="E3EE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F4C5C"/>
                <w:sz w:val="17"/>
                <w:szCs w:val="17"/>
              </w:rPr>
              <w:t xml:space="preserve">Cel 3 · Jedna Grupa: zakłady współpracują, centrala daje standardy</w:t>
            </w:r>
          </w:p>
        </w:tc>
        <w:tc>
          <w:tcPr>
            <w:tcW w:type="dxa" w:w="2967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24"/>
            </w:tcBorders>
            <w:shd w:fill="E3EE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F4C5C"/>
                <w:sz w:val="17"/>
                <w:szCs w:val="17"/>
              </w:rPr>
              <w:t xml:space="preserve">Cel 4 · Mniej zależni od gazu: nawozy specjalistyczne i nowe przychody</w:t>
            </w:r>
          </w:p>
        </w:tc>
        <w:tc>
          <w:tcPr>
            <w:tcW w:type="dxa" w:w="2967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24"/>
            </w:tcBorders>
            <w:shd w:fill="E3EE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F4C5C"/>
                <w:sz w:val="17"/>
                <w:szCs w:val="17"/>
              </w:rPr>
              <w:t xml:space="preserve">Cel 5 · Stabilne finanse: dług netto/EBITDA poniżej 2,5x, CAPEX w limitach</w:t>
            </w:r>
          </w:p>
        </w:tc>
      </w:tr>
    </w:tbl>
    <w:p>
      <w:pPr>
        <w:keepNext/>
        <w:spacing w:after="0" w:before="0"/>
        <w:jc w:val="center"/>
      </w:pPr>
      <w:r>
        <w:rPr>
          <w:rFonts w:ascii="Calibri" w:cs="Calibri" w:eastAsia="Calibri" w:hAnsi="Calibri"/>
          <w:color w:val="0F4C5C"/>
          <w:sz w:val="22"/>
          <w:szCs w:val="22"/>
        </w:rPr>
        <w:t xml:space="preserve">▼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669"/>
        <w:gridCol w:w="4500"/>
        <w:gridCol w:w="669"/>
        <w:gridCol w:w="4500"/>
      </w:tblGrid>
      <w:tr>
        <w:trPr>
          <w:cantSplit/>
        </w:trP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A4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Rynek i klient</w:t>
            </w:r>
          </w:p>
        </w:tc>
        <w:tc>
          <w:tcPr>
            <w:tcW w:type="dxa" w:w="6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6E00"/>
                <w:sz w:val="22"/>
                <w:szCs w:val="22"/>
              </w:rPr>
              <w:t xml:space="preserve"/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A4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Sprzedaż i dystrybucja</w:t>
            </w:r>
          </w:p>
        </w:tc>
        <w:tc>
          <w:tcPr>
            <w:tcW w:type="dxa" w:w="6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6E00"/>
                <w:sz w:val="22"/>
                <w:szCs w:val="22"/>
              </w:rPr>
              <w:t xml:space="preserve"/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A4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Produkcja i planowanie</w:t>
            </w:r>
          </w:p>
        </w:tc>
      </w:tr>
      <w:tr>
        <w:trPr>
          <w:cantSplit/>
        </w:trP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EB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5B6861"/>
                <w:sz w:val="15"/>
                <w:szCs w:val="15"/>
              </w:rPr>
              <w:t xml:space="preserve">Dla kogo: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Marketing, handel (DKHSA), Agrochem Puławy, Departament Transformacji Cyfrowej (platforma dla rolników)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D6A4C"/>
                <w:sz w:val="15"/>
                <w:szCs w:val="15"/>
              </w:rPr>
              <w:t xml:space="preserve">Co da firmie: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Oferta i platforma oparte na potrzebach rolnika, nie tylko na zamówieniach dystrybutorów; podstawa pod nowe przychody obok nawozów azotowych.</w:t>
            </w:r>
          </w:p>
        </w:tc>
        <w:tc>
          <w:tcPr>
            <w:tcW w:type="dxa" w:w="6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6E00"/>
                <w:sz w:val="22"/>
                <w:szCs w:val="22"/>
              </w:rPr>
              <w:t xml:space="preserve">→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EB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5B6861"/>
                <w:sz w:val="15"/>
                <w:szCs w:val="15"/>
              </w:rPr>
              <w:t xml:space="preserve">Dla kogo: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Dyrektor Sprzedaży, DKHSA z Biurem Analityki Sprzedaży, Manager ds. pricingu, handel zagraniczny, Agrochem Puławy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D6A4C"/>
                <w:sz w:val="15"/>
                <w:szCs w:val="15"/>
              </w:rPr>
              <w:t xml:space="preserve">Co da firmie: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Handel decyduje na pełnym obrazie marży, popytu i konkurencji, co wspiera wzrost AN/CAN i NPK przy obronie rynku krajowego.</w:t>
            </w:r>
          </w:p>
        </w:tc>
        <w:tc>
          <w:tcPr>
            <w:tcW w:type="dxa" w:w="6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6E00"/>
                <w:sz w:val="22"/>
                <w:szCs w:val="22"/>
              </w:rPr>
              <w:t xml:space="preserve">→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EB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5B6861"/>
                <w:sz w:val="15"/>
                <w:szCs w:val="15"/>
              </w:rPr>
              <w:t xml:space="preserve">Dla kogo: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Dyrektor Produkcji, planiści i operacje w Puławach, Policach, Kędzierzynie i Tarnowie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D6A4C"/>
                <w:sz w:val="15"/>
                <w:szCs w:val="15"/>
              </w:rPr>
              <w:t xml:space="preserve">Co da firmie: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Produkcja, handel i logistyka planują na tych samych danych: mniej sprzedaży traconej przez postoje, więcej ton z obecnych mocy.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6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6E00"/>
                <w:sz w:val="22"/>
                <w:szCs w:val="22"/>
              </w:rPr>
              <w:t xml:space="preserve"/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6E00"/>
                <w:sz w:val="18"/>
                <w:szCs w:val="18"/>
              </w:rPr>
              <w:t xml:space="preserve">↑</w:t>
            </w:r>
          </w:p>
        </w:tc>
        <w:tc>
          <w:tcPr>
            <w:tcW w:type="dxa" w:w="6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6E00"/>
                <w:sz w:val="22"/>
                <w:szCs w:val="22"/>
              </w:rPr>
              <w:t xml:space="preserve"/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A4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Spółki zależne i Compo</w:t>
            </w:r>
          </w:p>
        </w:tc>
        <w:tc>
          <w:tcPr>
            <w:tcW w:type="dxa" w:w="6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6E00"/>
                <w:sz w:val="22"/>
                <w:szCs w:val="22"/>
              </w:rPr>
              <w:t xml:space="preserve"/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6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6E00"/>
                <w:sz w:val="22"/>
                <w:szCs w:val="22"/>
              </w:rPr>
              <w:t xml:space="preserve"/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A4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Logistyka i magazyny</w:t>
            </w:r>
          </w:p>
        </w:tc>
      </w:tr>
      <w:tr>
        <w:trPr>
          <w:cantSplit/>
        </w:trP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EB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5B6861"/>
                <w:sz w:val="15"/>
                <w:szCs w:val="15"/>
              </w:rPr>
              <w:t xml:space="preserve">Dla kogo: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Zarządy spółek zależnych, Compo Expert i Compo Expert Polska, Agrochem Puławy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D6A4C"/>
                <w:sz w:val="15"/>
                <w:szCs w:val="15"/>
              </w:rPr>
              <w:t xml:space="preserve">Co da firmie: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Więcej wartości z Compo w Grupie: wspólne doradztwo dla rolnika, spójna oferta dla dystrybutorów, narzędzia bez dublowania.</w:t>
            </w:r>
          </w:p>
        </w:tc>
        <w:tc>
          <w:tcPr>
            <w:tcW w:type="dxa" w:w="6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6E00"/>
                <w:sz w:val="22"/>
                <w:szCs w:val="22"/>
              </w:rPr>
              <w:t xml:space="preserve">←</w:t>
            </w:r>
          </w:p>
        </w:tc>
        <w:tc>
          <w:tcPr>
            <w:tcW w:type="dxa" w:w="4500"/>
            <w:tcBorders>
              <w:top w:val="single" w:color="B86E00" w:sz="12"/>
              <w:left w:val="single" w:color="B86E00" w:sz="12"/>
              <w:bottom w:val="single" w:color="B86E00" w:sz="12"/>
              <w:right w:val="single" w:color="B86E00" w:sz="12"/>
            </w:tcBorders>
            <w:shd w:fill="FBEF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8221D"/>
                <w:sz w:val="20"/>
                <w:szCs w:val="20"/>
              </w:rPr>
              <w:t xml:space="preserve">Moja rola w strategii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B86E00"/>
                <w:sz w:val="15"/>
                <w:szCs w:val="15"/>
              </w:rPr>
              <w:t xml:space="preserve">Sprawdzam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czy styki działów i spółek prowadzą do celów strategii. Pracuję na danych właściciela procesu i najpierw z nim omawiam wnioski. Nie oceniam ludzi.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B86E00"/>
                <w:sz w:val="15"/>
                <w:szCs w:val="15"/>
              </w:rPr>
              <w:t xml:space="preserve">Wspieram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Panią Dyrektor ds. Strategii i Zarząd: obraz rynku, analizy i głos rolnika, na liczbach handlu i controllingu.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B86E00"/>
                <w:sz w:val="15"/>
                <w:szCs w:val="15"/>
              </w:rPr>
              <w:t xml:space="preserve">Łączę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działy, spółki i zespół McKinsey wokół wspólnych celów. Nie zatwierdzam planów, cen, systemów ani rekomendacji.</w:t>
            </w:r>
          </w:p>
        </w:tc>
        <w:tc>
          <w:tcPr>
            <w:tcW w:type="dxa" w:w="6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6E00"/>
                <w:sz w:val="22"/>
                <w:szCs w:val="22"/>
              </w:rPr>
              <w:t xml:space="preserve">→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EB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5B6861"/>
                <w:sz w:val="15"/>
                <w:szCs w:val="15"/>
              </w:rPr>
              <w:t xml:space="preserve">Dla kogo: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Dyrektor Logistyki, GA Koltar, magazyny zakładów, terminal w Policach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D6A4C"/>
                <w:sz w:val="15"/>
                <w:szCs w:val="15"/>
              </w:rPr>
              <w:t xml:space="preserve">Co da firmie: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Logistyka i handel planują sezon na wspólnych danych, co wspiera pewne dostawy i udział po ograniczeniu importu cłami UE.</w:t>
            </w:r>
          </w:p>
        </w:tc>
      </w:tr>
      <w:tr>
        <w:trPr>
          <w:cantSplit/>
        </w:trP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6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6E00"/>
                <w:sz w:val="22"/>
                <w:szCs w:val="22"/>
              </w:rPr>
              <w:t xml:space="preserve"/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6E00"/>
                <w:sz w:val="18"/>
                <w:szCs w:val="18"/>
              </w:rPr>
              <w:t xml:space="preserve">↓</w:t>
            </w:r>
          </w:p>
        </w:tc>
        <w:tc>
          <w:tcPr>
            <w:tcW w:type="dxa" w:w="6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6E00"/>
                <w:sz w:val="22"/>
                <w:szCs w:val="22"/>
              </w:rPr>
              <w:t xml:space="preserve"/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00"/>
              <w:bottom w:type="dxa" w:w="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A4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IT, SAP i dane</w:t>
            </w:r>
          </w:p>
        </w:tc>
        <w:tc>
          <w:tcPr>
            <w:tcW w:type="dxa" w:w="6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6E00"/>
                <w:sz w:val="22"/>
                <w:szCs w:val="22"/>
              </w:rPr>
              <w:t xml:space="preserve"/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A4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Finanse i controlling</w:t>
            </w:r>
          </w:p>
        </w:tc>
        <w:tc>
          <w:tcPr>
            <w:tcW w:type="dxa" w:w="6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6E00"/>
                <w:sz w:val="22"/>
                <w:szCs w:val="22"/>
              </w:rPr>
              <w:t xml:space="preserve"/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6A4C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Zakupy, gaz i surowce</w:t>
            </w:r>
          </w:p>
        </w:tc>
      </w:tr>
      <w:tr>
        <w:trPr>
          <w:cantSplit/>
        </w:trP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EB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5B6861"/>
                <w:sz w:val="15"/>
                <w:szCs w:val="15"/>
              </w:rPr>
              <w:t xml:space="preserve">Dla kogo: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Właściciele procesów w handlu, produkcji i logistyce; Dyrektor IT i zespół SAP S/4HANA; Departament Transformacji Cyfrowej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D6A4C"/>
                <w:sz w:val="15"/>
                <w:szCs w:val="15"/>
              </w:rPr>
              <w:t xml:space="preserve">Co da firmie: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Potrzeby danych strategii zgłoszone raz, w jednym miejscu, więc IT łatwiej daje jeden obraz do decyzji.</w:t>
            </w:r>
          </w:p>
        </w:tc>
        <w:tc>
          <w:tcPr>
            <w:tcW w:type="dxa" w:w="6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6E00"/>
                <w:sz w:val="22"/>
                <w:szCs w:val="22"/>
              </w:rPr>
              <w:t xml:space="preserve">←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EB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5B6861"/>
                <w:sz w:val="15"/>
                <w:szCs w:val="15"/>
              </w:rPr>
              <w:t xml:space="preserve">Dla kogo: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CFO, controlling, CAPEX Control Tower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D6A4C"/>
                <w:sz w:val="15"/>
                <w:szCs w:val="15"/>
              </w:rPr>
              <w:t xml:space="preserve">Co da firmie: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Jedna wersja liczb w strategii i controllingu; Zarząd porównuje inicjatywy według wpływu na marżę i gotówkę.</w:t>
            </w:r>
          </w:p>
        </w:tc>
        <w:tc>
          <w:tcPr>
            <w:tcW w:type="dxa" w:w="6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6E00"/>
                <w:sz w:val="22"/>
                <w:szCs w:val="22"/>
              </w:rPr>
              <w:t xml:space="preserve">←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EB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5B6861"/>
                <w:sz w:val="15"/>
                <w:szCs w:val="15"/>
              </w:rPr>
              <w:t xml:space="preserve">Dla kogo: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Dyrektor Zakupów, zakupy gazu i energii, zakupy Compo Expert, controlling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D6A4C"/>
                <w:sz w:val="15"/>
                <w:szCs w:val="15"/>
              </w:rPr>
              <w:t xml:space="preserve">Co da firmie: </w:t>
            </w:r>
            <w:r>
              <w:rPr>
                <w:rFonts w:ascii="Calibri" w:cs="Calibri" w:eastAsia="Calibri" w:hAnsi="Calibri"/>
                <w:sz w:val="15"/>
                <w:szCs w:val="15"/>
              </w:rPr>
              <w:t xml:space="preserve">Handel, produkcja i finanse planują na tych samych scenariuszach gazu, a firma lepiej przygotowuje się na skoki cen.</w:t>
            </w:r>
          </w:p>
        </w:tc>
      </w:tr>
    </w:tbl>
    <w:p>
      <w:pPr>
        <w:spacing w:after="20" w:before="0"/>
      </w:pPr>
      <w:r>
        <w:rPr>
          <w:rFonts w:ascii="Calibri" w:cs="Calibri" w:eastAsia="Calibri" w:hAnsi="Calibri"/>
          <w:sz w:val="18"/>
          <w:szCs w:val="18"/>
        </w:rPr>
        <w:t xml:space="preserve"/>
      </w:r>
    </w:p>
    <w:p>
      <w:pPr>
        <w:keepNext/>
        <w:spacing w:after="30" w:before="0"/>
      </w:pPr>
      <w:r>
        <w:rPr>
          <w:rFonts w:ascii="Calibri" w:cs="Calibri" w:eastAsia="Calibri" w:hAnsi="Calibri"/>
          <w:b/>
          <w:bCs/>
          <w:color w:val="0F4C5C"/>
          <w:sz w:val="15"/>
          <w:szCs w:val="15"/>
        </w:rPr>
        <w:t xml:space="preserve">PRZEKROJOWO, WE WSZYSTKICH OBSZARACH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46"/>
        <w:gridCol w:w="4946"/>
        <w:gridCol w:w="4946"/>
      </w:tblGrid>
      <w:tr>
        <w:trPr>
          <w:cantSplit/>
        </w:trPr>
        <w:tc>
          <w:tcPr>
            <w:tcW w:type="dxa" w:w="4946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24"/>
            </w:tcBorders>
            <w:shd w:fill="E3EE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F4C5C"/>
                <w:sz w:val="17"/>
                <w:szCs w:val="17"/>
              </w:rPr>
              <w:t xml:space="preserve">Integracja z McKinsey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Plan integracji oparty na faktach z Grupy, zgodny ze strategią i łatwiej przyjęty przez działy, bez podwójnych pytań.</w:t>
            </w:r>
          </w:p>
        </w:tc>
        <w:tc>
          <w:tcPr>
            <w:tcW w:type="dxa" w:w="4946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24"/>
            </w:tcBorders>
            <w:shd w:fill="E3EE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F4C5C"/>
                <w:sz w:val="17"/>
                <w:szCs w:val="17"/>
              </w:rPr>
              <w:t xml:space="preserve">Zmiana „Nowe Horyzonty”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Spójny opis celów strategii w centrali i spółkach oraz sprawniejsze styki procesów.</w:t>
            </w:r>
          </w:p>
        </w:tc>
        <w:tc>
          <w:tcPr>
            <w:tcW w:type="dxa" w:w="4946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24"/>
            </w:tcBorders>
            <w:shd w:fill="E3EE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F4C5C"/>
                <w:sz w:val="17"/>
                <w:szCs w:val="17"/>
              </w:rPr>
              <w:t xml:space="preserve">Otoczenie i regulacje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Działy planują na tych samych założeniach, a firma szybciej widzi szanse (cła, CBAM) i ryzyka (ETS, tańszy import mocznika).</w:t>
            </w:r>
          </w:p>
        </w:tc>
      </w:tr>
    </w:tbl>
    <w:p>
      <w:pPr>
        <w:keepNext/>
        <w:spacing w:after="0" w:before="0"/>
        <w:jc w:val="center"/>
      </w:pPr>
      <w:r>
        <w:rPr>
          <w:rFonts w:ascii="Calibri" w:cs="Calibri" w:eastAsia="Calibri" w:hAnsi="Calibri"/>
          <w:color w:val="1D6A4C"/>
          <w:sz w:val="22"/>
          <w:szCs w:val="22"/>
        </w:rPr>
        <w:t xml:space="preserve">▼</w:t>
      </w:r>
    </w:p>
    <w:p>
      <w:pPr>
        <w:keepNext/>
        <w:spacing w:after="30" w:before="0"/>
      </w:pPr>
      <w:r>
        <w:rPr>
          <w:rFonts w:ascii="Calibri" w:cs="Calibri" w:eastAsia="Calibri" w:hAnsi="Calibri"/>
          <w:b/>
          <w:bCs/>
          <w:color w:val="1D6A4C"/>
          <w:sz w:val="15"/>
          <w:szCs w:val="15"/>
        </w:rPr>
        <w:t xml:space="preserve">CO TO DA FIRMIE</w:t>
      </w:r>
    </w:p>
    <w:tbl>
      <w:tblPr>
        <w:tblW w:type="dxa" w:w="148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9"/>
        <w:gridCol w:w="3709"/>
        <w:gridCol w:w="3709"/>
        <w:gridCol w:w="3709"/>
      </w:tblGrid>
      <w:tr>
        <w:trPr>
          <w:cantSplit/>
        </w:trPr>
        <w:tc>
          <w:tcPr>
            <w:tcW w:type="dxa" w:w="3709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24"/>
            </w:tcBorders>
            <w:shd w:fill="1D6A4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Wszystkie obszary pracują na te same cele; luki na stykach widać wcześnie</w:t>
            </w:r>
          </w:p>
        </w:tc>
        <w:tc>
          <w:tcPr>
            <w:tcW w:type="dxa" w:w="3709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24"/>
            </w:tcBorders>
            <w:shd w:fill="1D6A4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Szybsze decyzje dzięki wspólnym założeniom i jednej wersji liczb</w:t>
            </w:r>
          </w:p>
        </w:tc>
        <w:tc>
          <w:tcPr>
            <w:tcW w:type="dxa" w:w="3709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24"/>
            </w:tcBorders>
            <w:shd w:fill="1D6A4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Integracja i „Nowe Horyzonty” oparte na faktach z Grupy</w:t>
            </w:r>
          </w:p>
        </w:tc>
        <w:tc>
          <w:tcPr>
            <w:tcW w:type="dxa" w:w="3709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24"/>
            </w:tcBorders>
            <w:shd w:fill="1D6A4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Pani Dyrektor ma sprawdzone materiały do decyzji Zarządu</w:t>
            </w:r>
          </w:p>
        </w:tc>
      </w:tr>
    </w:tbl>
    <w:p>
      <w:pPr>
        <w:spacing w:after="0" w:before="60"/>
      </w:pPr>
      <w:r>
        <w:rPr>
          <w:rFonts w:ascii="Calibri" w:cs="Calibri" w:eastAsia="Calibri" w:hAnsi="Calibri"/>
          <w:b/>
          <w:bCs/>
          <w:color w:val="B86E00"/>
          <w:sz w:val="15"/>
          <w:szCs w:val="15"/>
        </w:rPr>
        <w:t xml:space="preserve">Granica roli: </w:t>
      </w:r>
      <w:r>
        <w:rPr>
          <w:rFonts w:ascii="Calibri" w:cs="Calibri" w:eastAsia="Calibri" w:hAnsi="Calibri"/>
          <w:color w:val="5B6861"/>
          <w:sz w:val="15"/>
          <w:szCs w:val="15"/>
        </w:rPr>
        <w:t xml:space="preserve">decyzje, procesy, systemy i zespoły zostają w rękach dyrektorów obszarów. Strategia sprawdza, czy procesy prowadzą do celów, i wspiera je wiedzą, analizami oraz połączeniami między działami.</w:t>
      </w:r>
    </w:p>
    <w:p>
      <w:pPr>
        <w:pStyle w:val="Heading2"/>
        <w:keepNext/>
        <w:pageBreakBefore/>
        <w:spacing w:after="80" w:before="100"/>
      </w:pPr>
      <w:r>
        <w:rPr>
          <w:rFonts w:ascii="Calibri" w:cs="Calibri" w:eastAsia="Calibri" w:hAnsi="Calibri"/>
          <w:b/>
          <w:bCs/>
          <w:color w:val="1D6A4C"/>
          <w:sz w:val="24"/>
          <w:szCs w:val="24"/>
        </w:rPr>
        <w:t xml:space="preserve">Obszary przekrojowe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46"/>
        <w:gridCol w:w="4946"/>
        <w:gridCol w:w="4946"/>
      </w:tblGrid>
      <w:tr>
        <w:trPr>
          <w:cantSplit/>
        </w:trPr>
        <w:tc>
          <w:tcPr>
            <w:tcW w:type="dxa" w:w="4946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24"/>
            </w:tcBorders>
            <w:shd w:fill="0F4C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Integracja z McKinsey</w:t>
            </w:r>
          </w:p>
        </w:tc>
        <w:tc>
          <w:tcPr>
            <w:tcW w:type="dxa" w:w="4946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24"/>
            </w:tcBorders>
            <w:shd w:fill="0F4C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Zmiana „Nowe Horyzonty”</w:t>
            </w:r>
          </w:p>
        </w:tc>
        <w:tc>
          <w:tcPr>
            <w:tcW w:type="dxa" w:w="4946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24"/>
            </w:tcBorders>
            <w:shd w:fill="0F4C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Otoczenie i regulacje</w:t>
            </w:r>
          </w:p>
        </w:tc>
      </w:tr>
      <w:tr>
        <w:trPr>
          <w:cantSplit/>
        </w:trPr>
        <w:tc>
          <w:tcPr>
            <w:tcW w:type="dxa" w:w="4946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24"/>
            </w:tcBorders>
            <w:shd w:fill="E3EE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5B6861"/>
                <w:sz w:val="16"/>
                <w:szCs w:val="16"/>
              </w:rPr>
              <w:t xml:space="preserve">Dla kogo: 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Pani Dyrektor ds. Strategii (prowadzi projekt), zespół McKinsey, właściciele procesów w spółkach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B86E00"/>
                <w:sz w:val="16"/>
                <w:szCs w:val="16"/>
              </w:rPr>
              <w:t xml:space="preserve">Sprawdzam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Czy materiały wejściowe odzwierciedlają cele strategii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Czy McKinsey zna podział centrala–spółki z „Nowych Horyzontów”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Czy głos rynku i dystrybutorów jest w materiałach</w:t>
            </w:r>
          </w:p>
          <w:p>
            <w:pPr>
              <w:spacing w:after="10" w:before="30"/>
            </w:pPr>
            <w:r>
              <w:rPr>
                <w:rFonts w:ascii="Calibri" w:cs="Calibri" w:eastAsia="Calibri" w:hAnsi="Calibri"/>
                <w:b/>
                <w:bCs/>
                <w:color w:val="B86E00"/>
                <w:sz w:val="16"/>
                <w:szCs w:val="16"/>
              </w:rPr>
              <w:t xml:space="preserve">Wspieram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Dostarczam analizę 5 luk jako hipotezy do sprawdzenia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Na prośbę Pani Dyrektor ułatwiam kontakt z właściwymi osobami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Zbieram powtarzające się pytania, by działy odpowiadały raz</w:t>
            </w:r>
          </w:p>
          <w:p>
            <w:pPr>
              <w:spacing w:after="20" w:before="30"/>
            </w:pPr>
            <w:r>
              <w:rPr>
                <w:rFonts w:ascii="Calibri" w:cs="Calibri" w:eastAsia="Calibri" w:hAnsi="Calibri"/>
                <w:b/>
                <w:bCs/>
                <w:color w:val="1D6A4C"/>
                <w:sz w:val="16"/>
                <w:szCs w:val="16"/>
              </w:rPr>
              <w:t xml:space="preserve">Co da firmie: 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Plan integracji oparty na faktach z Grupy, zgodny ze strategią i łatwiej przyjęty przez działy, bez podwójnych pytań.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B6861"/>
                <w:sz w:val="15"/>
                <w:szCs w:val="15"/>
              </w:rPr>
              <w:t xml:space="preserve">Decyzje zostają w: </w:t>
            </w:r>
            <w:r>
              <w:rPr>
                <w:rFonts w:ascii="Calibri" w:cs="Calibri" w:eastAsia="Calibri" w:hAnsi="Calibri"/>
                <w:color w:val="5B6861"/>
                <w:sz w:val="15"/>
                <w:szCs w:val="15"/>
              </w:rPr>
              <w:t xml:space="preserve">Pani Dyrektor ds. Strategii (prowadzi projekt, odbiera prace); McKinsey (rekomendacje); właściciele danych (udostępnianie); Zarząd (decyzje).</w:t>
            </w:r>
          </w:p>
        </w:tc>
        <w:tc>
          <w:tcPr>
            <w:tcW w:type="dxa" w:w="4946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24"/>
            </w:tcBorders>
            <w:shd w:fill="E3EE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5B6861"/>
                <w:sz w:val="16"/>
                <w:szCs w:val="16"/>
              </w:rPr>
              <w:t xml:space="preserve">Dla kogo: 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Zarząd, Pani Dyrektor ds. Strategii, komunikacja wewnętrzna, menedżerowie centrali i spółek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B86E00"/>
                <w:sz w:val="16"/>
                <w:szCs w:val="16"/>
              </w:rPr>
              <w:t xml:space="preserve">Sprawdzam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Czy cel zmiany ma proste wyjaśnienie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Które styki centrala–spółki nie mają jeszcze opisu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Jakie pytania menedżerów dotyczą celów strategii</w:t>
            </w:r>
          </w:p>
          <w:p>
            <w:pPr>
              <w:spacing w:after="10" w:before="30"/>
            </w:pPr>
            <w:r>
              <w:rPr>
                <w:rFonts w:ascii="Calibri" w:cs="Calibri" w:eastAsia="Calibri" w:hAnsi="Calibri"/>
                <w:b/>
                <w:bCs/>
                <w:color w:val="B86E00"/>
                <w:sz w:val="16"/>
                <w:szCs w:val="16"/>
              </w:rPr>
              <w:t xml:space="preserve">Wspieram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Przygotowuję dla komunikacji proste opisy celów strategii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Łączę właścicieli procesów centrali i spółek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Przekazuję Pani Dyrektor pytania o cele strategii</w:t>
            </w:r>
          </w:p>
          <w:p>
            <w:pPr>
              <w:spacing w:after="20" w:before="30"/>
            </w:pPr>
            <w:r>
              <w:rPr>
                <w:rFonts w:ascii="Calibri" w:cs="Calibri" w:eastAsia="Calibri" w:hAnsi="Calibri"/>
                <w:b/>
                <w:bCs/>
                <w:color w:val="1D6A4C"/>
                <w:sz w:val="16"/>
                <w:szCs w:val="16"/>
              </w:rPr>
              <w:t xml:space="preserve">Co da firmie: 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Spójny opis celów strategii w centrali i spółkach oraz sprawniejsze styki procesów.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B6861"/>
                <w:sz w:val="15"/>
                <w:szCs w:val="15"/>
              </w:rPr>
              <w:t xml:space="preserve">Decyzje zostają w: </w:t>
            </w:r>
            <w:r>
              <w:rPr>
                <w:rFonts w:ascii="Calibri" w:cs="Calibri" w:eastAsia="Calibri" w:hAnsi="Calibri"/>
                <w:color w:val="5B6861"/>
                <w:sz w:val="15"/>
                <w:szCs w:val="15"/>
              </w:rPr>
              <w:t xml:space="preserve">Zarząd (organizacja, liczby w komunikacji); HR (ludzie, płace, rozmowy ze związkami); komunikacja wewnętrzna (przekaz).</w:t>
            </w:r>
          </w:p>
        </w:tc>
        <w:tc>
          <w:tcPr>
            <w:tcW w:type="dxa" w:w="4946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24"/>
            </w:tcBorders>
            <w:shd w:fill="E3EE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5B6861"/>
                <w:sz w:val="16"/>
                <w:szCs w:val="16"/>
              </w:rPr>
              <w:t xml:space="preserve">Dla kogo: 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Zarząd, handel, zakupy, controlling, produkcja, zespół McKinsey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b/>
                <w:bCs/>
                <w:color w:val="B86E00"/>
                <w:sz w:val="16"/>
                <w:szCs w:val="16"/>
              </w:rPr>
              <w:t xml:space="preserve">Sprawdzam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Jak gaz, cła, zawieszenie ceł MFN i CBAM zmieniają założenia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Czy działy przyjmują te same założenia o ETS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Czy dopłaty zmieniają rytm zakupów rolników</w:t>
            </w:r>
          </w:p>
          <w:p>
            <w:pPr>
              <w:spacing w:after="10" w:before="30"/>
            </w:pPr>
            <w:r>
              <w:rPr>
                <w:rFonts w:ascii="Calibri" w:cs="Calibri" w:eastAsia="Calibri" w:hAnsi="Calibri"/>
                <w:b/>
                <w:bCs/>
                <w:color w:val="B86E00"/>
                <w:sz w:val="16"/>
                <w:szCs w:val="16"/>
              </w:rPr>
              <w:t xml:space="preserve">Wspieram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Przygotowuję jeden przegląd rynku i otoczenia dla działów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Zbieram scenariusze gazu, ceł, CBAM i ETS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Dodaję obraz konkurencji, m.in. Anwilu</w:t>
            </w:r>
          </w:p>
          <w:p>
            <w:pPr>
              <w:spacing w:after="20" w:before="30"/>
            </w:pPr>
            <w:r>
              <w:rPr>
                <w:rFonts w:ascii="Calibri" w:cs="Calibri" w:eastAsia="Calibri" w:hAnsi="Calibri"/>
                <w:b/>
                <w:bCs/>
                <w:color w:val="1D6A4C"/>
                <w:sz w:val="16"/>
                <w:szCs w:val="16"/>
              </w:rPr>
              <w:t xml:space="preserve">Co da firmie: 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Działy planują na tych samych założeniach, a firma szybciej widzi szanse (cła, CBAM) i ryzyka (ETS, tańszy import mocznika).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B6861"/>
                <w:sz w:val="15"/>
                <w:szCs w:val="15"/>
              </w:rPr>
              <w:t xml:space="preserve">Decyzje zostają w: </w:t>
            </w:r>
            <w:r>
              <w:rPr>
                <w:rFonts w:ascii="Calibri" w:cs="Calibri" w:eastAsia="Calibri" w:hAnsi="Calibri"/>
                <w:color w:val="5B6861"/>
                <w:sz w:val="15"/>
                <w:szCs w:val="15"/>
              </w:rPr>
              <w:t xml:space="preserve">Zarząd i właściwe działy (reakcje biznesowe); prawnicy i regulacje (stanowiska wobec przepisów).</w:t>
            </w:r>
          </w:p>
        </w:tc>
      </w:tr>
    </w:tbl>
    <w:p>
      <w:pPr>
        <w:pStyle w:val="Heading2"/>
        <w:keepNext/>
        <w:spacing w:after="80" w:before="100"/>
      </w:pPr>
      <w:r>
        <w:rPr>
          <w:rFonts w:ascii="Calibri" w:cs="Calibri" w:eastAsia="Calibri" w:hAnsi="Calibri"/>
          <w:b/>
          <w:bCs/>
          <w:color w:val="1D6A4C"/>
          <w:sz w:val="24"/>
          <w:szCs w:val="24"/>
        </w:rPr>
        <w:t xml:space="preserve">Szczegóły: co sprawdzam i jak wspieram w każdym obszarze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900"/>
        <w:gridCol w:w="2100"/>
        <w:gridCol w:w="2500"/>
        <w:gridCol w:w="2500"/>
        <w:gridCol w:w="2200"/>
        <w:gridCol w:w="1938"/>
      </w:tblGrid>
      <w:tr>
        <w:trPr>
          <w:tblHeader/>
        </w:trPr>
        <w:tc>
          <w:tcPr>
            <w:tcW w:type="dxa" w:w="17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1D6A4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Obszar</w:t>
            </w:r>
          </w:p>
        </w:tc>
        <w:tc>
          <w:tcPr>
            <w:tcW w:type="dxa" w:w="19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1D6A4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Dla kogo</w:t>
            </w:r>
          </w:p>
        </w:tc>
        <w:tc>
          <w:tcPr>
            <w:tcW w:type="dxa" w:w="21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1D6A4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Po co</w:t>
            </w:r>
          </w:p>
        </w:tc>
        <w:tc>
          <w:tcPr>
            <w:tcW w:type="dxa" w:w="25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1D6A4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 sprawdzam</w:t>
            </w:r>
          </w:p>
        </w:tc>
        <w:tc>
          <w:tcPr>
            <w:tcW w:type="dxa" w:w="25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1D6A4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Jak wspieram</w:t>
            </w:r>
          </w:p>
        </w:tc>
        <w:tc>
          <w:tcPr>
            <w:tcW w:type="dxa" w:w="22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1D6A4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 da firmie</w:t>
            </w:r>
          </w:p>
        </w:tc>
        <w:tc>
          <w:tcPr>
            <w:tcW w:type="dxa" w:w="1938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shd w:fill="1D6A4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Decyzje zostają w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Rynek i klient</w:t>
            </w:r>
          </w:p>
        </w:tc>
        <w:tc>
          <w:tcPr>
            <w:tcW w:type="dxa" w:w="19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Marketing, handel (DKHSA), Agrochem Puławy, Departament Transformacji Cyfrowej (platforma dla rolników)</w:t>
            </w:r>
          </w:p>
        </w:tc>
        <w:tc>
          <w:tcPr>
            <w:tcW w:type="dxa" w:w="21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Cel 2 Udziały: oferta trafia w potrzeby rolnika; Cel 4 Mniej gazu: nowe źródła przychodów, m.in. platforma.</w:t>
            </w:r>
          </w:p>
        </w:tc>
        <w:tc>
          <w:tcPr>
            <w:tcW w:type="dxa" w:w="25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Czy widzimy popyt rolnika, nie tylko zamówienia dystrybutorów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Czy cele platformy są zgodne ze strategią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Czy wnioski z badań rolników trafiają do oferty</w:t>
            </w:r>
          </w:p>
        </w:tc>
        <w:tc>
          <w:tcPr>
            <w:tcW w:type="dxa" w:w="25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Dostarczam wyniki ankiety rolników i relację cen nawozów do zbóż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Udostępniam koncepcję GAia jako materiał do decyzji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Łączę marketing, handel i Compo wokół potrzeb rolnika</w:t>
            </w:r>
          </w:p>
        </w:tc>
        <w:tc>
          <w:tcPr>
            <w:tcW w:type="dxa" w:w="22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Oferta i platforma oparte na potrzebach rolnika, nie tylko na zamówieniach dystrybutorów; podstawa pod nowe przychody obok nawozów azotowych.</w:t>
            </w:r>
          </w:p>
        </w:tc>
        <w:tc>
          <w:tcPr>
            <w:tcW w:type="dxa" w:w="1938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861"/>
                <w:sz w:val="15"/>
                <w:szCs w:val="15"/>
              </w:rPr>
              <w:t xml:space="preserve">Marketing i handel (oferta, komunikacja, kontakt z dystrybutorami i rolnikami); Zarząd i DTC (model, właściciel platformy, ocena GAia).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Sprzedaż i dystrybucja</w:t>
            </w:r>
          </w:p>
        </w:tc>
        <w:tc>
          <w:tcPr>
            <w:tcW w:type="dxa" w:w="19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Dyrektor Sprzedaży, DKHSA z Biurem Analityki Sprzedaży, Manager ds. pricingu, handel zagraniczny, Agrochem Puławy</w:t>
            </w:r>
          </w:p>
        </w:tc>
        <w:tc>
          <w:tcPr>
            <w:tcW w:type="dxa" w:w="21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Cel 1 Rdzeń: utrzymać ponad 50% rynku w Polsce; Cel 2 Udziały: wzrost AN/CAN i NPK bez utraty marży.</w:t>
            </w:r>
          </w:p>
        </w:tc>
        <w:tc>
          <w:tcPr>
            <w:tcW w:type="dxa" w:w="25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Czy cele udziału i marży są ze sobą spójne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Czy marża po wszystkich upustach jest widoczna do decyzji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Czy eksport i rynek krajowy mają uzgodnione priorytety</w:t>
            </w:r>
          </w:p>
        </w:tc>
        <w:tc>
          <w:tcPr>
            <w:tcW w:type="dxa" w:w="25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Dostarczam obraz rynku: gaz, import, ceny konkurencji, dopłaty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Zbieram z handlem wnioski z sezonu wiosennego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Na prośbę DKHSA przygotowuję materiał o danych od dystrybutorów</w:t>
            </w:r>
          </w:p>
        </w:tc>
        <w:tc>
          <w:tcPr>
            <w:tcW w:type="dxa" w:w="22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Handel decyduje na pełnym obrazie marży, popytu i konkurencji, co wspiera wzrost AN/CAN i NPK przy obronie rynku krajowego.</w:t>
            </w:r>
          </w:p>
        </w:tc>
        <w:tc>
          <w:tcPr>
            <w:tcW w:type="dxa" w:w="1938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861"/>
                <w:sz w:val="15"/>
                <w:szCs w:val="15"/>
              </w:rPr>
              <w:t xml:space="preserve">Dyrektor Sprzedaży i DKHSA (polityka handlowa, prognoza sprzedaży, dystrybutorzy, eksport); pricing i CFO (cenniki, upusty).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Produkcja i planowanie</w:t>
            </w:r>
          </w:p>
        </w:tc>
        <w:tc>
          <w:tcPr>
            <w:tcW w:type="dxa" w:w="19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Dyrektor Produkcji, planiści i operacje w Puławach, Policach, Kędzierzynie i Tarnowie</w:t>
            </w:r>
          </w:p>
        </w:tc>
        <w:tc>
          <w:tcPr>
            <w:tcW w:type="dxa" w:w="21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Cel 2 Udziały: więcej AN/CAN i NPK z obecnych mocy; Cel 3 Jedna Grupa: zakłady nie konkurują ze sobą.</w:t>
            </w:r>
          </w:p>
        </w:tc>
        <w:tc>
          <w:tcPr>
            <w:tcW w:type="dxa" w:w="25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Czy plany zakładów łączą się z planem sprzedaży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Czy handel i logistyka znają plan postojów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Czy handel i produkcja widzą te same moce</w:t>
            </w:r>
          </w:p>
        </w:tc>
        <w:tc>
          <w:tcPr>
            <w:tcW w:type="dxa" w:w="25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Dostarczam scenariusze rynku i gazu do planowania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Ułatwiam wymianę danych między planistami, handlem i logistyką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Przekazuję potrzeby planistów do prac integracyjnych</w:t>
            </w:r>
          </w:p>
        </w:tc>
        <w:tc>
          <w:tcPr>
            <w:tcW w:type="dxa" w:w="22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Produkcja, handel i logistyka planują na tych samych danych: mniej sprzedaży traconej przez postoje, więcej ton z obecnych mocy.</w:t>
            </w:r>
          </w:p>
        </w:tc>
        <w:tc>
          <w:tcPr>
            <w:tcW w:type="dxa" w:w="1938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861"/>
                <w:sz w:val="15"/>
                <w:szCs w:val="15"/>
              </w:rPr>
              <w:t xml:space="preserve">Dyrektor Produkcji i planiści zakładów (plan, moce, postoje, narzędzia planowania, w tym Excel i SAP).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Logistyka i magazyny</w:t>
            </w:r>
          </w:p>
        </w:tc>
        <w:tc>
          <w:tcPr>
            <w:tcW w:type="dxa" w:w="19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Dyrektor Logistyki, GA Koltar, magazyny zakładów, terminal w Policach</w:t>
            </w:r>
          </w:p>
        </w:tc>
        <w:tc>
          <w:tcPr>
            <w:tcW w:type="dxa" w:w="21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Cel 2 Udziały: pewna dostawa w szczycie sezonu chroni udział; Cel 3 Jedna Grupa: logistyka działa jako całość.</w:t>
            </w:r>
          </w:p>
        </w:tc>
        <w:tc>
          <w:tcPr>
            <w:tcW w:type="dxa" w:w="25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Czy plan sprzedaży uwzględnia możliwości wydań w szczycie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Czy zakłady i Koltar planują tabor na wspólnych danych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Czy handel wie, kiedy towar dotrze do dystrybutora</w:t>
            </w:r>
          </w:p>
        </w:tc>
        <w:tc>
          <w:tcPr>
            <w:tcW w:type="dxa" w:w="25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Dostarczam sygnały o falach popytu: dopłaty, ceny, zachowania rolników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Łączę logistykę z handlem przy planie sezonu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Pokazuję, gdzie wydania w szczycie wpływają na udział</w:t>
            </w:r>
          </w:p>
        </w:tc>
        <w:tc>
          <w:tcPr>
            <w:tcW w:type="dxa" w:w="22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Logistyka i handel planują sezon na wspólnych danych, co wspiera pewne dostawy i udział po ograniczeniu importu cłami UE.</w:t>
            </w:r>
          </w:p>
        </w:tc>
        <w:tc>
          <w:tcPr>
            <w:tcW w:type="dxa" w:w="1938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861"/>
                <w:sz w:val="15"/>
                <w:szCs w:val="15"/>
              </w:rPr>
              <w:t xml:space="preserve">Dyrektor Logistyki i GA Koltar (flota, magazyny, terminale, przewozy); razem z IT (systemy magazynowe WMS).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Zakupy, gaz i surowce</w:t>
            </w:r>
          </w:p>
        </w:tc>
        <w:tc>
          <w:tcPr>
            <w:tcW w:type="dxa" w:w="19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Dyrektor Zakupów, zakupy gazu i energii, zakupy Compo Expert, controlling</w:t>
            </w:r>
          </w:p>
        </w:tc>
        <w:tc>
          <w:tcPr>
            <w:tcW w:type="dxa" w:w="21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Cel 1 Rdzeń: marża nawozów 9–10%; według branży gaz to 60–80% kosztu nawozów azotowych.</w:t>
            </w:r>
          </w:p>
        </w:tc>
        <w:tc>
          <w:tcPr>
            <w:tcW w:type="dxa" w:w="25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Czy działy używają tych samych scenariuszy gazu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Gdzie zakupy Grupy i Compo mogą się połączyć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Czy ryzyka amoniaku i potasu są w scenariuszach strategii</w:t>
            </w:r>
          </w:p>
        </w:tc>
        <w:tc>
          <w:tcPr>
            <w:tcW w:type="dxa" w:w="25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Dostarczam wpływ ceł, CBAM i zawieszenia ceł MFN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Pomagam zakupom Grupy i Compo pracować na wspólnych danych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Łączę zakupy z handlem na styku gaz–cena</w:t>
            </w:r>
          </w:p>
        </w:tc>
        <w:tc>
          <w:tcPr>
            <w:tcW w:type="dxa" w:w="22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Handel, produkcja i finanse planują na tych samych scenariuszach gazu, a firma lepiej przygotowuje się na skoki cen.</w:t>
            </w:r>
          </w:p>
        </w:tc>
        <w:tc>
          <w:tcPr>
            <w:tcW w:type="dxa" w:w="1938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861"/>
                <w:sz w:val="15"/>
                <w:szCs w:val="15"/>
              </w:rPr>
              <w:t xml:space="preserve">Dyrektor Zakupów i energetyka (kontrakty, gaz, surowce, dostawcy, zabezpieczenia cen).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Finanse i controlling</w:t>
            </w:r>
          </w:p>
        </w:tc>
        <w:tc>
          <w:tcPr>
            <w:tcW w:type="dxa" w:w="19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CFO, controlling, CAPEX Control Tower</w:t>
            </w:r>
          </w:p>
        </w:tc>
        <w:tc>
          <w:tcPr>
            <w:tcW w:type="dxa" w:w="21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Cel 5 Finanse: dług netto/EBITDA poniżej 2,5x, inwestycje w limitach CAPEX; Cel 1 Rdzeń: marża nawozów 9–10%.</w:t>
            </w:r>
          </w:p>
        </w:tc>
        <w:tc>
          <w:tcPr>
            <w:tcW w:type="dxa" w:w="25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Czy inicjatywy strategiczne mają opisany cel finansowy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Czy inicjatywy uwzględniają limity CAPEX (dane controllingu)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Czy liczby w materiałach strategii zgadzają się z controllingiem</w:t>
            </w:r>
          </w:p>
        </w:tc>
        <w:tc>
          <w:tcPr>
            <w:tcW w:type="dxa" w:w="25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Dostarczam założenia rynkowe do wyliczeń controllingu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Używam definicji wskaźników z controllingu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Łączę controlling z handlem przy obrazie marży</w:t>
            </w:r>
          </w:p>
        </w:tc>
        <w:tc>
          <w:tcPr>
            <w:tcW w:type="dxa" w:w="22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Jedna wersja liczb w strategii i controllingu; Zarząd porównuje inicjatywy według wpływu na marżę i gotówkę.</w:t>
            </w:r>
          </w:p>
        </w:tc>
        <w:tc>
          <w:tcPr>
            <w:tcW w:type="dxa" w:w="1938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861"/>
                <w:sz w:val="15"/>
                <w:szCs w:val="15"/>
              </w:rPr>
              <w:t xml:space="preserve">CFO i controlling (budżet, wyniki, CAPEX, wyceny inicjatyw, sprawozdawczość, relacje z bankami).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IT, SAP i dane</w:t>
            </w:r>
          </w:p>
        </w:tc>
        <w:tc>
          <w:tcPr>
            <w:tcW w:type="dxa" w:w="19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Właściciele procesów w handlu, produkcji i logistyce; Dyrektor IT i zespół SAP S/4HANA; Departament Transformacji Cyfrowej</w:t>
            </w:r>
          </w:p>
        </w:tc>
        <w:tc>
          <w:tcPr>
            <w:tcW w:type="dxa" w:w="21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Cel 3 Jedna Grupa: wspólne standardy danych; Cel 5 Finanse: usprawnienia w limitach CAPEX.</w:t>
            </w:r>
          </w:p>
        </w:tc>
        <w:tc>
          <w:tcPr>
            <w:tcW w:type="dxa" w:w="25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Jakich danych z SAP potrzebują procesy strategiczne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Czy handel i logistyka widzą jeden obraz zapasów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Czy dane do wskaźników strategii są dostępne</w:t>
            </w:r>
          </w:p>
        </w:tc>
        <w:tc>
          <w:tcPr>
            <w:tcW w:type="dxa" w:w="25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Zgłaszam potrzeby danych strategii raz, jedną listą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Formułuję pytania biznesowe do danych i raportów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Na prośbę IT dzielę się doświadczeniem z e-faktur</w:t>
            </w:r>
          </w:p>
        </w:tc>
        <w:tc>
          <w:tcPr>
            <w:tcW w:type="dxa" w:w="22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Potrzeby danych strategii zgłoszone raz, w jednym miejscu, więc IT łatwiej daje jeden obraz do decyzji.</w:t>
            </w:r>
          </w:p>
        </w:tc>
        <w:tc>
          <w:tcPr>
            <w:tcW w:type="dxa" w:w="1938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861"/>
                <w:sz w:val="15"/>
                <w:szCs w:val="15"/>
              </w:rPr>
              <w:t xml:space="preserve">Dyrektor IT (systemy, architektura, wdrożenia, dostęp do danych); właściciele procesów (sposób pracy w SAP).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Spółki zależne i Compo</w:t>
            </w:r>
          </w:p>
        </w:tc>
        <w:tc>
          <w:tcPr>
            <w:tcW w:type="dxa" w:w="19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Zarządy spółek zależnych, Compo Expert i Compo Expert Polska, Agrochem Puławy</w:t>
            </w:r>
          </w:p>
        </w:tc>
        <w:tc>
          <w:tcPr>
            <w:tcW w:type="dxa" w:w="21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Cel 4 Mniej gazu: nawozy specjalistyczne; Cel 3 Jedna Grupa: spółki pracują na całą Grupę.</w:t>
            </w:r>
          </w:p>
        </w:tc>
        <w:tc>
          <w:tcPr>
            <w:tcW w:type="dxa" w:w="25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Gdzie oferta i narzędzia Compo wspierają cele Grupy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Czy oferty Compo, Agrochemu i Grupy się uzupełniają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Jak FarmHub, GAia i narzędzia Compo Polska do siebie pasują</w:t>
            </w:r>
          </w:p>
        </w:tc>
        <w:tc>
          <w:tcPr>
            <w:tcW w:type="dxa" w:w="25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Dostarczam analizę FarmHub i brief synergii z Compo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Łączę Compo z handlem, marketingiem i B+R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Przygotowuję materiały do decyzji o zasadach kanałów</w:t>
            </w:r>
          </w:p>
        </w:tc>
        <w:tc>
          <w:tcPr>
            <w:tcW w:type="dxa" w:w="2200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Więcej wartości z Compo w Grupie: wspólne doradztwo dla rolnika, spójna oferta dla dystrybutorów, narzędzia bez dublowania.</w:t>
            </w:r>
          </w:p>
        </w:tc>
        <w:tc>
          <w:tcPr>
            <w:tcW w:type="dxa" w:w="1938"/>
            <w:tcBorders>
              <w:top w:val="single" w:color="BFCBC4" w:sz="4"/>
              <w:left w:val="single" w:color="BFCBC4" w:sz="4"/>
              <w:bottom w:val="single" w:color="BFCBC4" w:sz="4"/>
              <w:right w:val="single" w:color="BFCBC4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5B6861"/>
                <w:sz w:val="15"/>
                <w:szCs w:val="15"/>
              </w:rPr>
              <w:t xml:space="preserve">Zarząd Grupy i zarządy spółek (mandat, synergie, ocena FarmHub i GAia); CFO (finanse Compo, zgody banków); handel (zasady kanałów).</w:t>
            </w:r>
          </w:p>
        </w:tc>
      </w:tr>
    </w:tbl>
    <w:p>
      <w:pPr>
        <w:spacing w:after="40" w:before="120"/>
      </w:pPr>
      <w:r>
        <w:rPr>
          <w:rFonts w:ascii="Calibri" w:cs="Calibri" w:eastAsia="Calibri" w:hAnsi="Calibri"/>
          <w:b/>
          <w:bCs/>
          <w:color w:val="5B6861"/>
          <w:sz w:val="13"/>
          <w:szCs w:val="13"/>
        </w:rPr>
        <w:t xml:space="preserve">Źródła: </w:t>
      </w:r>
      <w:r>
        <w:rPr>
          <w:rFonts w:ascii="Calibri" w:cs="Calibri" w:eastAsia="Calibri" w:hAnsi="Calibri"/>
          <w:color w:val="5B6861"/>
          <w:sz w:val="13"/>
          <w:szCs w:val="13"/>
        </w:rPr>
        <w:t xml:space="preserve">Luka 1 – Strategia nawozowa.xlsx · Ankieta rolników n=121, Lubelskie (wyniki kierunkowe) · Zapowiedź platformy (wnp.pl) – nie decyzja · OPZ GAia (zamawia DTC) · Luki 1 i 2 – Strategia nawozowa.xlsx · Model AD (chemiaibiznes.com.pl) · Wstrzymanie zamówień po skoku gazu (farmer.pl); Anwil (bankier.pl) · Kontrakt Thoroe Nielsen; priorytet rolnika krajowego · Luka 3 – Strategia nawozowa.xlsx · Prezes o braku koordynacji postojów (money.pl, wnp.pl) · Wyniki Grupy: wolumen −27% r/r przez postoje i miks · Luki 4 i 5 – Strategia nawozowa.xlsx · Cła UE na nawozy z Rosji i Białorusi (2025/1227) · Spadek importu (Rada UE); liczby farmer.pl niepewne · Ceny TTF (tradingeconomics.com, modoenergy.com) · Udział gazu w koszcie – szacunek branżowy · Synergie zakupowe Compo (inwestycje.pl; aktualność do potwierdzenia) · Potas – Nutrien (farmer.pl); amoniak przez Police · Cele finansowe Strategii 2030 (grupaazoty.com, biznesradar.pl) · CAPEX Control Tower (Strategia 2030) · Term sheet z bankami – niewiążący (parkiet.com) · SAP S/4HANA w 4 spółkach (bpxglobal.com, xyz.pl) · GA_Top3 – SAP EWM i plan produkcji w SAP · Różne WMS – kontekst wewnętrzny, bez spisu · Brief synergii (40 mln EUR to cel, nie wynik) · FarmHub_Analiza.pdf · Compo zostaje w Grupie (Reuters) · Akcje Compo zabezpieczają kredyty (term sheet) · 5 luk – Strategia nawozowa.xlsx (hipotezy) · „Nowe Horyzonty” (parkiet.com) · McKinsey – kontekst wewnętrzny, bez źródeł publicznych · „Nowe Horyzonty” i stanowisko związków (parkiet.com) · „Nowa Grupa Azoty” (money.pl) · Model operacyjny Strategii 2030 (grupaazoty.com) · Cła UE (rozporządzenie 2025/1227) · CBAM (Rada UE, argusmedia.com) · Zawieszenie ceł MFN (eunews.it) · Ceny TTF; dopłaty (farmer.pl, niepewne) · Strategia Grupy Azoty do 2030 (raport 79/2025; przyjęta przez poprzedni zarząd, bez formalnej rewizji) · Strategia nawozowa.xlsx; GA_Top3 – dokumenty robocze, do potwierdzenia z Panią Dyrektor · Strategia 2030 – model operacyjny (grupaazoty.com); „Nowe Horyzonty” (parkiet.com); prezes o konkurencji zakładów (money.pl) · Raport 79/2025 (potencjał nawozów specjalistycznych); zapowiedź platformy (wnp.pl, strefabiznesu.pl) · Strategia 2030 (grupaazoty.com, biznesradar.pl); term sheet z bankami – niewiążący (parkiet.com)</w:t>
      </w:r>
    </w:p>
    <w:sectPr>
      <w:footerReference w:type="default" r:id="rId7"/>
      <w:pgSz w:w="16838" w:h="11906" w:orient="landscape"/>
      <w:pgMar w:top="520" w:right="1000" w:bottom="52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B6861"/>
        <w:sz w:val="14"/>
        <w:szCs w:val="14"/>
      </w:rPr>
      <w:t xml:space="preserve">Angelika Pruchniak · Rola strategii we wspieraniu procesów Grupy · str. </w:t>
    </w:r>
    <w:r>
      <w:rPr>
        <w:color w:val="5B6861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20" w:hanging="1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2026-10-08T11:55:16.030Z</dcterms:created>
  <dcterms:modified xsi:type="dcterms:W3CDTF">2026-10-08T11:55:16.030Z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