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alibri" w:cs="Calibri" w:eastAsia="Calibri" w:hAnsi="Calibri"/>
          <w:color w:val="5B6861"/>
          <w:sz w:val="18"/>
          <w:szCs w:val="18"/>
        </w:rPr>
        <w:t xml:space="preserve">GRUPA AZOTY · SEGMENT NAWOZY · PROPOZYCJA WSPARCIA PROCESU INTEGRACJI</w:t>
      </w:r>
    </w:p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color w:val="18221D"/>
          <w:sz w:val="40"/>
          <w:szCs w:val="40"/>
        </w:rPr>
        <w:t xml:space="preserve">Mapa procesu Grupy Azoty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Angelika Pruchniak</w:t>
      </w:r>
      <w:r>
        <w:rPr>
          <w:rFonts w:ascii="Calibri" w:cs="Calibri" w:eastAsia="Calibri" w:hAnsi="Calibri"/>
          <w:color w:val="5B6861"/>
          <w:sz w:val="20"/>
          <w:szCs w:val="20"/>
        </w:rPr>
        <w:t xml:space="preserve"> · Manager ds. projektów strategicznych · październik 2026</w:t>
      </w:r>
    </w:p>
    <w:p>
      <w:pPr>
        <w:spacing w:after="120" w:before="0"/>
      </w:pPr>
      <w:r>
        <w:rPr>
          <w:rFonts w:ascii="Calibri" w:cs="Calibri" w:eastAsia="Calibri" w:hAnsi="Calibri"/>
          <w:sz w:val="20"/>
          <w:szCs w:val="20"/>
        </w:rPr>
        <w:t xml:space="preserve">W tym dokumencie pokazuję, jak widzę proces w segmencie Nawozy: gdzie są zakłady, kiedy jest sezon, jak towar i dane płyną od rolnika do gotówki i na jakich narzędziach pracują ludzie. Wskazuję też 7 miejsc, w których mogę sprawdzić, jak ta praca wygląda w rzeczywistości, i w ten sposób wesprzeć proces integracji.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Legenda:  </w:t>
      </w:r>
      <w:r>
        <w:rPr>
          <w:color w:val="2C7A4B"/>
          <w:sz w:val="22"/>
          <w:szCs w:val="22"/>
        </w:rPr>
        <w:t xml:space="preserve">● </w:t>
      </w:r>
      <w:r>
        <w:rPr>
          <w:rFonts w:ascii="Calibri" w:cs="Calibri" w:eastAsia="Calibri" w:hAnsi="Calibri"/>
          <w:sz w:val="20"/>
          <w:szCs w:val="20"/>
        </w:rPr>
        <w:t xml:space="preserve">w systemie     </w:t>
      </w:r>
      <w:r>
        <w:rPr>
          <w:color w:val="B8860B"/>
          <w:sz w:val="22"/>
          <w:szCs w:val="22"/>
        </w:rPr>
        <w:t xml:space="preserve">● </w:t>
      </w:r>
      <w:r>
        <w:rPr>
          <w:rFonts w:ascii="Calibri" w:cs="Calibri" w:eastAsia="Calibri" w:hAnsi="Calibri"/>
          <w:sz w:val="20"/>
          <w:szCs w:val="20"/>
        </w:rPr>
        <w:t xml:space="preserve">częściowo     </w:t>
      </w:r>
      <w:r>
        <w:rPr>
          <w:color w:val="B23A32"/>
          <w:sz w:val="22"/>
          <w:szCs w:val="22"/>
        </w:rPr>
        <w:t xml:space="preserve">● </w:t>
      </w:r>
      <w:r>
        <w:rPr>
          <w:rFonts w:ascii="Calibri" w:cs="Calibri" w:eastAsia="Calibri" w:hAnsi="Calibri"/>
          <w:sz w:val="20"/>
          <w:szCs w:val="20"/>
        </w:rPr>
        <w:t xml:space="preserve">poza systemem     </w:t>
      </w:r>
      <w:r>
        <w:rPr>
          <w:color w:val="7D8A84"/>
          <w:sz w:val="22"/>
          <w:szCs w:val="22"/>
        </w:rPr>
        <w:t xml:space="preserve">● </w:t>
      </w:r>
      <w:r>
        <w:rPr>
          <w:rFonts w:ascii="Calibri" w:cs="Calibri" w:eastAsia="Calibri" w:hAnsi="Calibri"/>
          <w:sz w:val="20"/>
          <w:szCs w:val="20"/>
        </w:rPr>
        <w:t xml:space="preserve">do sprawdzenia     </w:t>
      </w:r>
      <w:r>
        <w:rPr>
          <w:b/>
          <w:bCs/>
          <w:color w:val="B86E00"/>
          <w:sz w:val="20"/>
          <w:szCs w:val="20"/>
        </w:rPr>
        <w:t xml:space="preserve">W1–W7 </w:t>
      </w:r>
      <w:r>
        <w:rPr>
          <w:rFonts w:ascii="Calibri" w:cs="Calibri" w:eastAsia="Calibri" w:hAnsi="Calibri"/>
          <w:sz w:val="20"/>
          <w:szCs w:val="20"/>
        </w:rPr>
        <w:t xml:space="preserve">punkt, w którym weryfikuję proces</w:t>
      </w:r>
    </w:p>
    <w:p>
      <w:pPr>
        <w:pStyle w:val="Heading2"/>
        <w:keepNext/>
        <w:spacing w:after="120" w:before="240"/>
      </w:pPr>
      <w:r>
        <w:rPr>
          <w:rFonts w:ascii="Calibri" w:cs="Calibri" w:eastAsia="Calibri" w:hAnsi="Calibri"/>
          <w:b/>
          <w:bCs/>
          <w:color w:val="1D6A4C"/>
          <w:sz w:val="30"/>
          <w:szCs w:val="30"/>
        </w:rPr>
        <w:t xml:space="preserve">1. Gdzie co jest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none" w:color="FFFFFF" w:sz="0"/>
          <w:insideV w:val="none" w:color="FFFFFF" w:sz="0"/>
        </w:tblBorders>
      </w:tblPr>
      <w:tblGrid>
        <w:gridCol w:w="6200"/>
        <w:gridCol w:w="8638"/>
      </w:tblGrid>
      <w:tr>
        <w:tc>
          <w:tcPr>
            <w:tcW w:type="dxa" w:w="6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619500" cy="3371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3371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200"/>
            </w:tcMar>
          </w:tcPr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D6A4C"/>
                <w:sz w:val="22"/>
                <w:szCs w:val="22"/>
              </w:rPr>
              <w:t xml:space="preserve">Puławy</w:t>
            </w:r>
          </w:p>
          <w:p>
            <w:pPr>
              <w:spacing w:after="11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Największy zakład azotowy. Saletra amonowa (PULAN), mocznik, RSM, siarczan amonu. W sezonie: brak magazynu Big-Bag, bufor granulatu ok. 1 doby.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D6A4C"/>
                <w:sz w:val="22"/>
                <w:szCs w:val="22"/>
              </w:rPr>
              <w:t xml:space="preserve">Police</w:t>
            </w:r>
          </w:p>
          <w:p>
            <w:pPr>
              <w:spacing w:after="11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NPK, terminal amoniaku, port. Magazyn M525: 14 tys. t przy 1 gatunku, tylko 8 tys. t przy 4.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D6A4C"/>
                <w:sz w:val="22"/>
                <w:szCs w:val="22"/>
              </w:rPr>
              <w:t xml:space="preserve">Kędzierzyn</w:t>
            </w:r>
          </w:p>
          <w:p>
            <w:pPr>
              <w:spacing w:after="11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Saletrzak, RSM, oprócz tego chemia (np. alkohole OXO).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D6A4C"/>
                <w:sz w:val="22"/>
                <w:szCs w:val="22"/>
              </w:rPr>
              <w:t xml:space="preserve">Tarnów</w:t>
            </w:r>
          </w:p>
          <w:p>
            <w:pPr>
              <w:spacing w:after="11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Centrum korporacyjne. Saletrzak, siarczan amonu, tworzywa. Siedziba GA Koltar.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D6A4C"/>
                <w:sz w:val="22"/>
                <w:szCs w:val="22"/>
              </w:rPr>
              <w:t xml:space="preserve">Gdańsk, Siarkopol</w:t>
            </w:r>
          </w:p>
          <w:p>
            <w:pPr>
              <w:spacing w:after="11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Surowce: fosfor i NPK z Gdańska, siarka z Siarkopolu. Zasilają resztę Grupy.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D6A4C"/>
                <w:sz w:val="22"/>
                <w:szCs w:val="22"/>
              </w:rPr>
              <w:t xml:space="preserve">Koltar</w:t>
            </w:r>
          </w:p>
          <w:p>
            <w:pPr>
              <w:spacing w:after="11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Ok. 1 700 wagonów i cystern, ponad 175 km bocznic. Mimo to w szczycie Grupa czeka na tabor PKP Cargo, bo każdy zakład planuje transport sam.</w:t>
            </w:r>
          </w:p>
        </w:tc>
      </w:tr>
    </w:tbl>
    <w:p>
      <w:pPr>
        <w:spacing w:after="80" w:before="80"/>
      </w:pPr>
      <w:r>
        <w:rPr>
          <w:rFonts w:ascii="Calibri" w:cs="Calibri" w:eastAsia="Calibri" w:hAnsi="Calibri"/>
          <w:color w:val="5B6861"/>
          <w:sz w:val="20"/>
          <w:szCs w:val="20"/>
        </w:rPr>
        <w:t xml:space="preserve">Łącznie ok. 8,76 mln t mocy nawozów rocznie (nr 2 w UE). Wykorzystanie mocy NPK/NP/NS w 2024 r. to tylko 39%.</w:t>
      </w:r>
    </w:p>
    <w:p>
      <w:pPr>
        <w:pStyle w:val="Heading2"/>
        <w:keepNext/>
        <w:pageBreakBefore/>
        <w:spacing w:after="120" w:before="240"/>
      </w:pPr>
      <w:r>
        <w:rPr>
          <w:rFonts w:ascii="Calibri" w:cs="Calibri" w:eastAsia="Calibri" w:hAnsi="Calibri"/>
          <w:b/>
          <w:bCs/>
          <w:color w:val="1D6A4C"/>
          <w:sz w:val="30"/>
          <w:szCs w:val="30"/>
        </w:rPr>
        <w:t xml:space="preserve">2. Rok nawozowy: fabryka pracuje cały rok, rolnik kupuje w dwóch oknach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Zakłady produkują równo przez 12 miesięcy, a popyt skupia się w dwóch szczytach. Różnicę muszą wziąć na siebie magazyny, dystrybutorzy i transport. Na tym styku integracja ma największe znaczenie.</w:t>
      </w:r>
    </w:p>
    <w:p>
      <w:pPr>
        <w:spacing w:after="80"/>
        <w:jc w:val="center"/>
      </w:pPr>
      <w:r>
        <w:drawing>
          <wp:inline distT="0" distB="0" distL="0" distR="0">
            <wp:extent cx="8572500" cy="2238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861"/>
          <w:sz w:val="20"/>
          <w:szCs w:val="20"/>
        </w:rPr>
        <w:t xml:space="preserve">Słupki pokazują typowy rytm rynku i nie są danymi Grupy. Dokładne miesiące potwierdzę z działem handlu.</w:t>
      </w:r>
    </w:p>
    <w:p>
      <w:pPr>
        <w:pBdr>
          <w:left w:val="single" w:color="B86E00" w:sz="24" w:space="8"/>
        </w:pBdr>
        <w:shd w:fill="FBEFD9" w:color="auto" w:val="clear"/>
        <w:spacing w:after="120" w:before="120"/>
      </w:pPr>
      <w:r>
        <w:rPr>
          <w:rFonts w:ascii="Calibri" w:cs="Calibri" w:eastAsia="Calibri" w:hAnsi="Calibri"/>
          <w:b/>
          <w:bCs/>
          <w:color w:val="B86E00"/>
          <w:sz w:val="20"/>
          <w:szCs w:val="20"/>
        </w:rPr>
        <w:t xml:space="preserve">Dlaczego teraz. </w:t>
      </w:r>
      <w:r>
        <w:rPr>
          <w:rFonts w:ascii="Calibri" w:cs="Calibri" w:eastAsia="Calibri" w:hAnsi="Calibri"/>
          <w:sz w:val="20"/>
          <w:szCs w:val="20"/>
        </w:rPr>
        <w:t xml:space="preserve">Mój okres w projekcie (październik–styczeń) przypada dokładnie na przygotowanie do wiosennego szczytu. Wtedy powstaje plan na wiosnę, zapełniają się magazyny i dystrybutorzy składają kontrakty. Jeśli coś ma się poprawić przed marcem, musi to być widoczne właśnie w tym okresie. Dzięki temu mogę obserwować procesy na żywo, w momencie, który dla wyniku sezonu liczy się najbardziej.</w:t>
      </w:r>
    </w:p>
    <w:p>
      <w:pPr>
        <w:pStyle w:val="Heading2"/>
        <w:keepNext/>
        <w:pageBreakBefore/>
        <w:spacing w:after="120" w:before="240"/>
      </w:pPr>
      <w:r>
        <w:rPr>
          <w:rFonts w:ascii="Calibri" w:cs="Calibri" w:eastAsia="Calibri" w:hAnsi="Calibri"/>
          <w:b/>
          <w:bCs/>
          <w:color w:val="1D6A4C"/>
          <w:sz w:val="30"/>
          <w:szCs w:val="30"/>
        </w:rPr>
        <w:t xml:space="preserve">3. Od rolnika do gotówki: 7 kroków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Wejście do procesu: </w:t>
      </w:r>
      <w:r>
        <w:rPr>
          <w:rFonts w:ascii="Calibri" w:cs="Calibri" w:eastAsia="Calibri" w:hAnsi="Calibri"/>
          <w:sz w:val="20"/>
          <w:szCs w:val="20"/>
        </w:rPr>
        <w:t xml:space="preserve">gaz ziemny · amoniak (terminal Police) · siarka (Siarkopol) · fosforyty (porty) · energia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700"/>
        <w:gridCol w:w="4300"/>
        <w:gridCol w:w="4138"/>
        <w:gridCol w:w="1400"/>
      </w:tblGrid>
      <w:tr>
        <w:trPr>
          <w:cantSplit/>
          <w:tblHeader/>
        </w:trPr>
        <w:tc>
          <w:tcPr>
            <w:tcW w:type="dxa" w:w="2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shd w:fill="E1EFE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Krok</w:t>
            </w:r>
          </w:p>
        </w:tc>
        <w:tc>
          <w:tcPr>
            <w:tcW w:type="dxa" w:w="27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shd w:fill="E1EFE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Kto pracuje</w:t>
            </w:r>
          </w:p>
        </w:tc>
        <w:tc>
          <w:tcPr>
            <w:tcW w:type="dxa" w:w="4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shd w:fill="E1EFE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Narzędzia dziś</w:t>
            </w:r>
          </w:p>
        </w:tc>
        <w:tc>
          <w:tcPr>
            <w:tcW w:type="dxa" w:w="41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shd w:fill="E1EFE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Luka (z dokumentów)</w:t>
            </w:r>
          </w:p>
        </w:tc>
        <w:tc>
          <w:tcPr>
            <w:tcW w:type="dxa" w:w="14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shd w:fill="E1EFE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Moja weryfikacja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 Rolnik i dystrybutor</w:t>
            </w:r>
          </w:p>
        </w:tc>
        <w:tc>
          <w:tcPr>
            <w:tcW w:type="dxa" w:w="27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68 autoryzowanych dystrybutorów (AD), menadżerowie rynku</w:t>
            </w:r>
          </w:p>
        </w:tc>
        <w:tc>
          <w:tcPr>
            <w:tcW w:type="dxa" w:w="4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B8860B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portal AD, CRM, Nawozy.eu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B23A32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sprzedaż AD do rolnika: brak danych</w:t>
            </w:r>
          </w:p>
        </w:tc>
        <w:tc>
          <w:tcPr>
            <w:tcW w:type="dxa" w:w="41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Grupa widzi zamówienia AD, a nie rolnika. Zapas w kanale wygląda jak popyt.</w:t>
            </w:r>
          </w:p>
        </w:tc>
        <w:tc>
          <w:tcPr>
            <w:tcW w:type="dxa" w:w="14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86E00"/>
                <w:sz w:val="20"/>
                <w:szCs w:val="20"/>
              </w:rPr>
              <w:t xml:space="preserve">W1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2. Zamówienie i cena</w:t>
            </w:r>
          </w:p>
        </w:tc>
        <w:tc>
          <w:tcPr>
            <w:tcW w:type="dxa" w:w="27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handel, obsługa klienta, pricing</w:t>
            </w:r>
          </w:p>
        </w:tc>
        <w:tc>
          <w:tcPr>
            <w:tcW w:type="dxa" w:w="4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C7A4B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SAP SD: zamówienie, faktura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B8860B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5 poziomów upustów, część poza fakturą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D8A84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mail i telefon od AD: skala?</w:t>
            </w:r>
          </w:p>
        </w:tc>
        <w:tc>
          <w:tcPr>
            <w:tcW w:type="dxa" w:w="41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Cena na fakturze to nie cena, którą Grupa dostaje.</w:t>
            </w:r>
          </w:p>
        </w:tc>
        <w:tc>
          <w:tcPr>
            <w:tcW w:type="dxa" w:w="14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86E00"/>
                <w:sz w:val="20"/>
                <w:szCs w:val="20"/>
              </w:rPr>
              <w:t xml:space="preserve">W2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3. Plan produkcji</w:t>
            </w:r>
          </w:p>
        </w:tc>
        <w:tc>
          <w:tcPr>
            <w:tcW w:type="dxa" w:w="27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planiści w każdym zakładzie osobno</w:t>
            </w:r>
          </w:p>
        </w:tc>
        <w:tc>
          <w:tcPr>
            <w:tcW w:type="dxa" w:w="4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B23A32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Excel, który rozumieją ok. 2 osoby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D8A84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SAP PP: licencja jest, użycie?</w:t>
            </w:r>
          </w:p>
        </w:tc>
        <w:tc>
          <w:tcPr>
            <w:tcW w:type="dxa" w:w="41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Kolumna „moc rzeczywista” pusta dla wszystkich zakładów. Nikt nie wie, który zakład zrobi tonę najtaniej.</w:t>
            </w:r>
          </w:p>
        </w:tc>
        <w:tc>
          <w:tcPr>
            <w:tcW w:type="dxa" w:w="14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86E00"/>
                <w:sz w:val="20"/>
                <w:szCs w:val="20"/>
              </w:rPr>
              <w:t xml:space="preserve">W3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4. Produkcja</w:t>
            </w:r>
          </w:p>
        </w:tc>
        <w:tc>
          <w:tcPr>
            <w:tcW w:type="dxa" w:w="27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instalacje, dyspozytornie, jakość (QM)</w:t>
            </w:r>
          </w:p>
        </w:tc>
        <w:tc>
          <w:tcPr>
            <w:tcW w:type="dxa" w:w="4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C7A4B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automatyka instalacji (OT), pomiary gazu i energii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D8A84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przekazanie danych do SAP: ręczne czy automatyczne?</w:t>
            </w:r>
          </w:p>
        </w:tc>
        <w:tc>
          <w:tcPr>
            <w:tcW w:type="dxa" w:w="41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Koszt gazu i energii na tonę niewidoczny w planowaniu. Remonty niepowiązane z sezonem.</w:t>
            </w:r>
          </w:p>
        </w:tc>
        <w:tc>
          <w:tcPr>
            <w:tcW w:type="dxa" w:w="14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86E00"/>
                <w:sz w:val="20"/>
                <w:szCs w:val="20"/>
              </w:rPr>
              <w:t xml:space="preserve">W4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5. Magazyn i pakowanie</w:t>
            </w:r>
          </w:p>
        </w:tc>
        <w:tc>
          <w:tcPr>
            <w:tcW w:type="dxa" w:w="27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magazynierzy, linie paletyzacji</w:t>
            </w:r>
          </w:p>
        </w:tc>
        <w:tc>
          <w:tcPr>
            <w:tcW w:type="dxa" w:w="4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B8860B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WMS: inny w każdej spółce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B23A32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brak wspólnego widoku zapasu 4 zakładów</w:t>
            </w:r>
          </w:p>
        </w:tc>
        <w:tc>
          <w:tcPr>
            <w:tcW w:type="dxa" w:w="41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Ok. 240 tys. t magazynów, ale w szczycie towar nie nadąża z pakowaniem i wydaniem.</w:t>
            </w:r>
          </w:p>
        </w:tc>
        <w:tc>
          <w:tcPr>
            <w:tcW w:type="dxa" w:w="14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86E00"/>
                <w:sz w:val="20"/>
                <w:szCs w:val="20"/>
              </w:rPr>
              <w:t xml:space="preserve">W5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6. Wysyłka</w:t>
            </w:r>
          </w:p>
        </w:tc>
        <w:tc>
          <w:tcPr>
            <w:tcW w:type="dxa" w:w="27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logistyka zakładów, Koltar, przewoźnicy</w:t>
            </w:r>
          </w:p>
        </w:tc>
        <w:tc>
          <w:tcPr>
            <w:tcW w:type="dxa" w:w="4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B8860B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każdy zakład planuje transport sam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7D8A84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awizacja aut, wagi, bramy: narzędzie?</w:t>
            </w:r>
          </w:p>
        </w:tc>
        <w:tc>
          <w:tcPr>
            <w:tcW w:type="dxa" w:w="41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Kolejki aut w szczycie. Puste przebiegi i fracht awaryjny niezmierzone.</w:t>
            </w:r>
          </w:p>
        </w:tc>
        <w:tc>
          <w:tcPr>
            <w:tcW w:type="dxa" w:w="14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86E00"/>
                <w:sz w:val="20"/>
                <w:szCs w:val="20"/>
              </w:rPr>
              <w:t xml:space="preserve">W6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7. Faktura, marża, raport</w:t>
            </w:r>
          </w:p>
        </w:tc>
        <w:tc>
          <w:tcPr>
            <w:tcW w:type="dxa" w:w="27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księgowość w spółkach, kontroling, CFO</w:t>
            </w:r>
          </w:p>
        </w:tc>
        <w:tc>
          <w:tcPr>
            <w:tcW w:type="dxa" w:w="43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2C7A4B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SAP FI/CO w każdej spółce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B23A32"/>
                <w:sz w:val="22"/>
                <w:szCs w:val="22"/>
              </w:rPr>
              <w:t xml:space="preserve">● 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wynik Grupy sklejany z zestawień spółek</w:t>
            </w:r>
          </w:p>
        </w:tc>
        <w:tc>
          <w:tcPr>
            <w:tcW w:type="dxa" w:w="41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Brak marży per klient i produkt po wszystkich upustach i kosztach dostawy.</w:t>
            </w:r>
          </w:p>
        </w:tc>
        <w:tc>
          <w:tcPr>
            <w:tcW w:type="dxa" w:w="14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86E00"/>
                <w:sz w:val="20"/>
                <w:szCs w:val="20"/>
              </w:rPr>
              <w:t xml:space="preserve">W7</w:t>
            </w:r>
          </w:p>
        </w:tc>
      </w:tr>
    </w:tbl>
    <w:p>
      <w:pPr>
        <w:shd w:fill="E1EFE8" w:color="auto" w:val="clear"/>
        <w:spacing w:after="80" w:before="120"/>
      </w:pPr>
      <w:r>
        <w:rPr>
          <w:rFonts w:ascii="Calibri" w:cs="Calibri" w:eastAsia="Calibri" w:hAnsi="Calibri"/>
          <w:b/>
          <w:bCs/>
          <w:color w:val="1D6A4C"/>
          <w:sz w:val="20"/>
          <w:szCs w:val="20"/>
        </w:rPr>
        <w:t xml:space="preserve">Pętla, której dziś brakuje: </w:t>
      </w:r>
      <w:r>
        <w:rPr>
          <w:rFonts w:ascii="Calibri" w:cs="Calibri" w:eastAsia="Calibri" w:hAnsi="Calibri"/>
          <w:sz w:val="20"/>
          <w:szCs w:val="20"/>
        </w:rPr>
        <w:t xml:space="preserve">informacja z kroku 1 (ile AD faktycznie sprzedał rolnikom, czego zabrakło, gdzie klient odszedł) powinna wracać do planu w kroku 3. Dziś plan powstaje głównie z zamówień i doświadczenia planistów.</w:t>
      </w:r>
    </w:p>
    <w:p>
      <w:pPr>
        <w:pStyle w:val="Heading2"/>
        <w:keepNext/>
        <w:pageBreakBefore/>
        <w:spacing w:after="120" w:before="240"/>
      </w:pPr>
      <w:r>
        <w:rPr>
          <w:rFonts w:ascii="Calibri" w:cs="Calibri" w:eastAsia="Calibri" w:hAnsi="Calibri"/>
          <w:b/>
          <w:bCs/>
          <w:color w:val="1D6A4C"/>
          <w:sz w:val="30"/>
          <w:szCs w:val="30"/>
        </w:rPr>
        <w:t xml:space="preserve">4. Punkty weryfikacji W1–W7</w:t>
      </w:r>
    </w:p>
    <w:p>
      <w:pPr>
        <w:spacing w:after="80" w:before="0"/>
      </w:pPr>
      <w:r>
        <w:rPr>
          <w:rFonts w:ascii="Calibri" w:cs="Calibri" w:eastAsia="Calibri" w:hAnsi="Calibri"/>
          <w:sz w:val="20"/>
          <w:szCs w:val="20"/>
        </w:rPr>
        <w:t xml:space="preserve">W każdym punkcie stosuję tę samą metodę: siadam obok osoby, która wykonuje daną pracę, i proszę, żeby pokazała mi jeden prawdziwy przypadek na ekranie, od początku do końca. Nie oceniam ludzi. Mierzę, ile kroków, plików i ręcznego przepisywania wymaga proces.</w:t>
      </w:r>
    </w:p>
    <w:p>
      <w:pPr>
        <w:pStyle w:val="Heading3"/>
        <w:keepNext/>
        <w:spacing w:after="100" w:before="120"/>
      </w:pPr>
      <w:r>
        <w:rPr>
          <w:rFonts w:ascii="Calibri" w:cs="Calibri" w:eastAsia="Calibri" w:hAnsi="Calibri"/>
          <w:b/>
          <w:bCs/>
          <w:color w:val="B86E00"/>
          <w:sz w:val="28"/>
          <w:szCs w:val="28"/>
        </w:rPr>
        <w:t xml:space="preserve">W1 · Co wiemy o rolniku i dystrybutorze  (krok 1)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238"/>
      </w:tblGrid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 kim rozmawiam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2–3 menadżerów rynku, 1–2 dystrybutorów (AD), osoba od portalu AD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co poproszę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Skąd wiedzą, ile nawozu AD ma dziś w magazynie i ile sprzedał rolnikom w zeszłym tygodniu.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 mierzę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czy te dane w ogóle istnieją i gdzie (portal, mail, telefon)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jak często przychodzą i z jakim opóźnieniem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czy ktoś zapisuje odmowy i utracone oferty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23A32"/>
                <w:sz w:val="20"/>
                <w:szCs w:val="20"/>
              </w:rPr>
              <w:t xml:space="preserve">Sygnał problemu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„Dzwonię do dystrybutora i pytam”. To znaczy, że wiedza o rynku jest w głowach, a nie w systemie.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Notatki z wizyty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Data:  ……………   Osoba:  ……………   Spółka / zakład:  ……………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keepNext/>
        <w:pageBreakBefore/>
        <w:spacing w:after="100" w:before="120"/>
      </w:pPr>
      <w:r>
        <w:rPr>
          <w:rFonts w:ascii="Calibri" w:cs="Calibri" w:eastAsia="Calibri" w:hAnsi="Calibri"/>
          <w:b/>
          <w:bCs/>
          <w:color w:val="B86E00"/>
          <w:sz w:val="28"/>
          <w:szCs w:val="28"/>
        </w:rPr>
        <w:t xml:space="preserve">W2 · Zamówienie i prawdziwa cena  (krok 2)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238"/>
      </w:tblGrid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 kim rozmawiam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obsługa klienta w 2 spółkach, Biuro Analityki Sprzedaży, manager ds. pricingu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co poproszę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Jedno zamówienie AD od wpłynięcia do wpisania w SAP oraz jak policzyć cenę netto po wszystkich upustach dla tego klienta.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 mierzę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ile razy dane są przepisywane (mail → Excel → SAP)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czy termin dostawy potwierdza się z SAP, czy telefonem do zakładu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ile upustów jest w SAP, a ile w osobnych plikach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23A32"/>
                <w:sz w:val="20"/>
                <w:szCs w:val="20"/>
              </w:rPr>
              <w:t xml:space="preserve">Sygnał problemu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Nikt nie umie szybko podać ceny netto dla jednego klienta. Wtedy luka 2 (marża) jest potwierdzona.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Notatki z wizyty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Data:  ……………   Osoba:  ……………   Spółka / zakład:  ……………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keepNext/>
        <w:pageBreakBefore/>
        <w:spacing w:after="100" w:before="120"/>
      </w:pPr>
      <w:r>
        <w:rPr>
          <w:rFonts w:ascii="Calibri" w:cs="Calibri" w:eastAsia="Calibri" w:hAnsi="Calibri"/>
          <w:b/>
          <w:bCs/>
          <w:color w:val="B86E00"/>
          <w:sz w:val="28"/>
          <w:szCs w:val="28"/>
        </w:rPr>
        <w:t xml:space="preserve">W3 · Plan produkcji w Excelu (najważniejszy)  (krok 3)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238"/>
      </w:tblGrid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 kim rozmawiam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 2 osoby, które rozumieją plik, i ich przełożony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co poproszę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Jeden cotygodniowy cykl planowania od początku do końca: skąd biorą dane, co wpisują ręcznie i jakie reguły mają w głowie.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 mierzę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 plików i skąd każdy bierze dane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reguły, których nie ma nigdzie zapisanych (np. kolejność gatunków, remonty)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ile godzin tygodniowo zajmuje plan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 się dzieje, gdy ta osoba jest na urlopie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23A32"/>
                <w:sz w:val="20"/>
                <w:szCs w:val="20"/>
              </w:rPr>
              <w:t xml:space="preserve">Sygnał problemu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„Tylko ja wiem, jak to działa”. To ryzyko ciągłości działania dla całej Grupy.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Notatki z wizyty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Data:  ……………   Osoba:  ……………   Spółka / zakład:  ……………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keepNext/>
        <w:pageBreakBefore/>
        <w:spacing w:after="100" w:before="120"/>
      </w:pPr>
      <w:r>
        <w:rPr>
          <w:rFonts w:ascii="Calibri" w:cs="Calibri" w:eastAsia="Calibri" w:hAnsi="Calibri"/>
          <w:b/>
          <w:bCs/>
          <w:color w:val="B86E00"/>
          <w:sz w:val="28"/>
          <w:szCs w:val="28"/>
        </w:rPr>
        <w:t xml:space="preserve">W4 · Z instalacji do systemu  (krok 4)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238"/>
      </w:tblGrid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 kim rozmawiam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kierownik zmiany lub dyspozytor, osoba z kontroli jakości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co poproszę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Jak wyprodukowana partia trafia do SAP: kto ją wpisuje, kiedy i skąd bierze liczby.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 mierzę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opóźnienie między produkcją a zapisem w SAP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czy zużycie gazu i energii na tonę jest widoczne dla planisty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jak planuje się remonty względem sezonu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23A32"/>
                <w:sz w:val="20"/>
                <w:szCs w:val="20"/>
              </w:rPr>
              <w:t xml:space="preserve">Sygnał problemu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Raport zmianowy na papierze lub w Excelu, przepisywany do SAP następnego dnia.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Notatki z wizyty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Data:  ……………   Osoba:  ……………   Spółka / zakład:  ……………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keepNext/>
        <w:pageBreakBefore/>
        <w:spacing w:after="100" w:before="120"/>
      </w:pPr>
      <w:r>
        <w:rPr>
          <w:rFonts w:ascii="Calibri" w:cs="Calibri" w:eastAsia="Calibri" w:hAnsi="Calibri"/>
          <w:b/>
          <w:bCs/>
          <w:color w:val="B86E00"/>
          <w:sz w:val="28"/>
          <w:szCs w:val="28"/>
        </w:rPr>
        <w:t xml:space="preserve">W5 · Magazyn i różne WMS-y  (krok 5)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238"/>
      </w:tblGrid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 kim rozmawiam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kierownik magazynu i 1–2 magazynierów w Puławach i Policach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co poproszę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Ile jest dziś saletry na stanie i gdzie dokładnie leży. Najpierw w systemie, potem na placu.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 mierzę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czy stan w WMS zgadza się ze stanem fizycznym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jaki WMS ma każda spółka i czy wymienia dane z SAP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gdzie są kartki, tablice, notatki obok systemu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23A32"/>
                <w:sz w:val="20"/>
                <w:szCs w:val="20"/>
              </w:rPr>
              <w:t xml:space="preserve">Sygnał problemu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Magazynier sprawdza stan „na oko” albo dzwoni do kolegi, zamiast zajrzeć do systemu.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Notatki z wizyty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Data:  ……………   Osoba:  ……………   Spółka / zakład:  ……………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keepNext/>
        <w:pageBreakBefore/>
        <w:spacing w:after="100" w:before="120"/>
      </w:pPr>
      <w:r>
        <w:rPr>
          <w:rFonts w:ascii="Calibri" w:cs="Calibri" w:eastAsia="Calibri" w:hAnsi="Calibri"/>
          <w:b/>
          <w:bCs/>
          <w:color w:val="B86E00"/>
          <w:sz w:val="28"/>
          <w:szCs w:val="28"/>
        </w:rPr>
        <w:t xml:space="preserve">W6 · Auto i wagon: od awizacji do wyjazdu  (krok 6)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238"/>
      </w:tblGrid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 kim rozmawiam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dział wysyłek w zakładzie, dyspozytor Koltaru, kierowcy w kolejce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co poproszę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Jak zamawia się wagony i jak wpuszcza auto: kto, ile dni wcześniej, w jakim narzędziu.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 mierzę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czas od przyjazdu auta do wyjazdu (stoper, kilka aut)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długość kolejki o różnych porach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czy wagony z Koltaru są planowane dla całej Grupy, czy per zakład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23A32"/>
                <w:sz w:val="20"/>
                <w:szCs w:val="20"/>
              </w:rPr>
              <w:t xml:space="preserve">Sygnał problemu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Grafik wagonów w Excelu i telefony między zakładami. Wtedy luka 5 (flota) jest potwierdzona.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Notatki z wizyty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Data:  ……………   Osoba:  ……………   Spółka / zakład:  ……………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3"/>
        <w:keepNext/>
        <w:pageBreakBefore/>
        <w:spacing w:after="100" w:before="120"/>
      </w:pPr>
      <w:r>
        <w:rPr>
          <w:rFonts w:ascii="Calibri" w:cs="Calibri" w:eastAsia="Calibri" w:hAnsi="Calibri"/>
          <w:b/>
          <w:bCs/>
          <w:color w:val="B86E00"/>
          <w:sz w:val="28"/>
          <w:szCs w:val="28"/>
        </w:rPr>
        <w:t xml:space="preserve">W7 · Jak powstaje raport dla Zarządu  (krok 7)</w:t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2238"/>
      </w:tblGrid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 kim rozmawiam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kontroling w centrali i w 1–2 spółkach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 co poproszę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Jak powstaje miesięczny raport wyniku segmentu Nawozy: z ilu plików i od ilu osób.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 mierzę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ile dni od końca miesiąca do gotowego raportu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ile ręcznych uzgodnień między spółkami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czy da się pokazać marżę dla jednego klienta i produktu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23A32"/>
                <w:sz w:val="20"/>
                <w:szCs w:val="20"/>
              </w:rPr>
              <w:t xml:space="preserve">Sygnał problemu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Różne liczby dla tego samego wskaźnika w różnych spółkach (np. udział NPK 42% vs 52%).</w:t>
            </w:r>
          </w:p>
        </w:tc>
      </w:tr>
      <w:tr>
        <w:trPr>
          <w:cantSplit/>
          <w:tblHeader w:val="false"/>
        </w:trPr>
        <w:tc>
          <w:tcPr>
            <w:tcW w:type="dxa" w:w="2600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Notatki z wizyty</w:t>
            </w:r>
          </w:p>
        </w:tc>
        <w:tc>
          <w:tcPr>
            <w:tcW w:type="dxa" w:w="12238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Data:  ……………   Osoba:  ……………   Spółka / zakład:  ……………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keepNext/>
        <w:pageBreakBefore/>
        <w:spacing w:after="120" w:before="240"/>
      </w:pPr>
      <w:r>
        <w:rPr>
          <w:rFonts w:ascii="Calibri" w:cs="Calibri" w:eastAsia="Calibri" w:hAnsi="Calibri"/>
          <w:b/>
          <w:bCs/>
          <w:color w:val="1D6A4C"/>
          <w:sz w:val="30"/>
          <w:szCs w:val="30"/>
        </w:rPr>
        <w:t xml:space="preserve">5. Jak i kiedy to zrobię: październik–styczeń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Obserwuję pracę, a nie tylko o nią pytam. Proszę o pokazanie prawdziwego przypadku z bieżącego dnia, bo opis procesu zawsze wygląda lepiej niż sam proces.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Mierzę trzy rzeczy: czas (ile trwa), kroki (ile kliknięć, plików, telefonów) i przepisywanie (ile razy ta sama liczba jest wpisywana ręcznie).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Dzielę się wynikami. Po każdej wizycie przekazuję krótką notatkę osobom, z którymi rozmawiałam, i ich przełożonym. Podsumowanie trafia także do działu IT i zespołu McKinsey, żeby nasze prace się uzupełniały, a nie dublowały.</w:t>
      </w:r>
    </w:p>
    <w:p>
      <w:pPr>
        <w:spacing w:after="60" w:before="0"/>
      </w:pPr>
      <w:r>
        <w:rPr>
          <w:rFonts w:ascii="Calibri" w:cs="Calibri" w:eastAsia="Calibri" w:hAnsi="Calibri"/>
          <w:sz w:val="20"/>
          <w:szCs w:val="20"/>
        </w:rPr>
        <w:t xml:space="preserve"/>
      </w:r>
    </w:p>
    <w:tbl>
      <w:tblPr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9"/>
        <w:gridCol w:w="3709"/>
        <w:gridCol w:w="3709"/>
        <w:gridCol w:w="3709"/>
      </w:tblGrid>
      <w:tr>
        <w:trPr>
          <w:cantSplit/>
          <w:tblHeader/>
        </w:trPr>
        <w:tc>
          <w:tcPr>
            <w:tcW w:type="dxa" w:w="3709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shd w:fill="E1EFE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Październik</w:t>
            </w:r>
          </w:p>
        </w:tc>
        <w:tc>
          <w:tcPr>
            <w:tcW w:type="dxa" w:w="3709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shd w:fill="E1EFE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Listopad</w:t>
            </w:r>
          </w:p>
        </w:tc>
        <w:tc>
          <w:tcPr>
            <w:tcW w:type="dxa" w:w="3709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shd w:fill="E1EFE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Grudzień</w:t>
            </w:r>
          </w:p>
        </w:tc>
        <w:tc>
          <w:tcPr>
            <w:tcW w:type="dxa" w:w="3709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shd w:fill="E1EFE8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Styczeń</w:t>
            </w:r>
          </w:p>
        </w:tc>
      </w:tr>
      <w:tr>
        <w:trPr>
          <w:cantSplit/>
          <w:tblHeader w:val="false"/>
        </w:trPr>
        <w:tc>
          <w:tcPr>
            <w:tcW w:type="dxa" w:w="3709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86E00"/>
                <w:sz w:val="20"/>
                <w:szCs w:val="20"/>
              </w:rPr>
              <w:t xml:space="preserve">W1 · W2 · W3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Rynek, zamówienia i plan produkcji na wiosnę. Właśnie teraz powstaje plan na sezon.</w:t>
            </w:r>
          </w:p>
        </w:tc>
        <w:tc>
          <w:tcPr>
            <w:tcW w:type="dxa" w:w="3709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86E00"/>
                <w:sz w:val="20"/>
                <w:szCs w:val="20"/>
              </w:rPr>
              <w:t xml:space="preserve">W4 · W5 · W6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Produkcja, magazyny i transport w czasie, gdy magazyny zapełniają się przed wiosną.</w:t>
            </w:r>
          </w:p>
        </w:tc>
        <w:tc>
          <w:tcPr>
            <w:tcW w:type="dxa" w:w="3709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86E00"/>
                <w:sz w:val="20"/>
                <w:szCs w:val="20"/>
              </w:rPr>
              <w:t xml:space="preserve">W7 + synteza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Kontroling i raport. Jedna mapa „jak pracujemy naprawdę” dla McKinseya i Dyrektora.</w:t>
            </w:r>
          </w:p>
        </w:tc>
        <w:tc>
          <w:tcPr>
            <w:tcW w:type="dxa" w:w="3709"/>
            <w:tcBorders>
              <w:top w:val="single" w:color="C9D2CC" w:sz="4"/>
              <w:left w:val="single" w:color="C9D2CC" w:sz="4"/>
              <w:bottom w:val="single" w:color="C9D2CC" w:sz="4"/>
              <w:right w:val="single" w:color="C9D2CC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86E00"/>
                <w:sz w:val="20"/>
                <w:szCs w:val="20"/>
              </w:rPr>
              <w:t xml:space="preserve">pilot AN/CAN</w:t>
            </w:r>
          </w:p>
          <w:p>
            <w:pPr>
              <w:spacing w:after="8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Sprawdzenie, czy przed szczytem poprawiło się choć jedno miejsce, np. widok zapasu albo plan na saletrę.</w:t>
            </w:r>
          </w:p>
        </w:tc>
      </w:tr>
    </w:tbl>
    <w:p>
      <w:pPr>
        <w:spacing w:after="80" w:before="240"/>
      </w:pPr>
      <w:r>
        <w:rPr>
          <w:rFonts w:ascii="Calibri" w:cs="Calibri" w:eastAsia="Calibri" w:hAnsi="Calibri"/>
          <w:b/>
          <w:bCs/>
          <w:color w:val="5B6861"/>
          <w:sz w:val="20"/>
          <w:szCs w:val="20"/>
        </w:rPr>
        <w:t xml:space="preserve">Źródła: </w:t>
      </w:r>
      <w:r>
        <w:rPr>
          <w:rFonts w:ascii="Calibri" w:cs="Calibri" w:eastAsia="Calibri" w:hAnsi="Calibri"/>
          <w:color w:val="5B6861"/>
          <w:sz w:val="18"/>
          <w:szCs w:val="18"/>
        </w:rPr>
        <w:t xml:space="preserve">Strategia Grupy Azoty 2030, Strategia Nawozowa (slajdy 21, 26–32, 86–91), mapa „Jedna Grupa, jeden system”, arkusz „5 luk dla Zarządu”.</w:t>
      </w:r>
    </w:p>
    <w:p>
      <w:pPr>
        <w:spacing w:after="80" w:before="0"/>
      </w:pPr>
      <w:r>
        <w:rPr>
          <w:rFonts w:ascii="Calibri" w:cs="Calibri" w:eastAsia="Calibri" w:hAnsi="Calibri"/>
          <w:b/>
          <w:bCs/>
          <w:color w:val="5B6861"/>
          <w:sz w:val="20"/>
          <w:szCs w:val="20"/>
        </w:rPr>
        <w:t xml:space="preserve">Do potwierdzenia: </w:t>
      </w:r>
      <w:r>
        <w:rPr>
          <w:rFonts w:ascii="Calibri" w:cs="Calibri" w:eastAsia="Calibri" w:hAnsi="Calibri"/>
          <w:color w:val="5B6861"/>
          <w:sz w:val="18"/>
          <w:szCs w:val="18"/>
        </w:rPr>
        <w:t xml:space="preserve">które moduły SAP faktycznie działają w każdej spółce, jaki WMS ma każda spółka, dokładne miesiące szczytu. Produkty przypisane do zakładów to obraz ogólny, a nie pełny asortyment.</w:t>
      </w:r>
    </w:p>
    <w:sectPr>
      <w:footerReference w:type="default" r:id="rId7"/>
      <w:pgSz w:w="16838" w:h="11906" w:orient="landscape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861"/>
        <w:sz w:val="16"/>
        <w:szCs w:val="16"/>
      </w:rPr>
      <w:t xml:space="preserve">Mapa procesu Grupy Azoty · Angelika Pruchniak · str. </w:t>
    </w:r>
    <w:r>
      <w:rPr>
        <w:color w:val="5B6861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f6dc0fb1c744cc27267b5de3e8d3de2ae041aade.png"/><Relationship Id="rId9" Type="http://schemas.openxmlformats.org/officeDocument/2006/relationships/image" Target="media/ed42ce25f20c3ac937bac2580ead2bcf551af2c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2026-10-08T10:24:24.861Z</dcterms:created>
  <dcterms:modified xsi:type="dcterms:W3CDTF">2026-10-08T10:24:24.861Z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