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861"/>
          <w:sz w:val="16"/>
          <w:szCs w:val="16"/>
        </w:rPr>
        <w:t xml:space="preserve">NOTATKA ROBOCZA · STAN NA 8.10.2026</w:t>
      </w:r>
    </w:p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8221D"/>
          <w:sz w:val="34"/>
          <w:szCs w:val="34"/>
        </w:rPr>
        <w:t xml:space="preserve">Compo Expert, sytuacja gospodarcza i punkty styku</w:t>
      </w:r>
    </w:p>
    <w:p>
      <w:pPr>
        <w:shd w:fill="FBEFD9" w:color="auto" w:val="clear"/>
        <w:spacing w:after="1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Wersja wstępna. </w:t>
      </w:r>
      <w:r>
        <w:rPr>
          <w:rFonts w:ascii="Calibri" w:cs="Calibri" w:eastAsia="Calibri" w:hAnsi="Calibri"/>
          <w:sz w:val="20"/>
          <w:szCs w:val="20"/>
        </w:rPr>
        <w:t xml:space="preserve">Dane pochodzą z wyników wyszukiwania i dokumentów na Drive. Liczby oznaczone jako niepewne trzeba sprawdzić w źródle pierwotnym, zanim trafią do materiału dla Pani Dyrektor. Część dotycząca sytuacji Grupy Azoty i ostateczna lista obszarów są jeszcze w przygotowaniu.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1. Compo Expert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właścicielski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Spółka należy w 100% do Grupy Azoty od listopada 2018 (zakup za ok. 226,6 mln EUR).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 styczniu 2025 sprzedaż była analizowana jako opcja poprawy płynności, bez decyzji i bez znanego kupującego.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14.09.2026 prezes Marcin Celejewski (Reuters): </w:t>
      </w:r>
      <w:r>
        <w:rPr>
          <w:rFonts w:ascii="Calibri" w:cs="Calibri" w:eastAsia="Calibri" w:hAnsi="Calibri"/>
          <w:sz w:val="20"/>
          <w:szCs w:val="20"/>
        </w:rPr>
        <w:t xml:space="preserve">Grupa nie planuje sprzedaży, bo Compo „uzupełnia podstawowe portfolio nawozowe”.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Udziały Compo Expert mają być zabezpieczeniem dla banków w restrukturyzacji długu (niewiążący term sheet z 1.06.2026, porozumienie przedłużone do 30.10.2026). Każda decyzja o sprzedaży, dywidendzie czy dużej inwestycji będzie praktycznie wymagała zgody banków.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B6861"/>
          <w:sz w:val="16"/>
          <w:szCs w:val="16"/>
        </w:rPr>
        <w:t xml:space="preserve">Źródła: Reuters/Yahoo Finance 14.09.2026; stockwatch.pl, PAP Biznes, parkiet.com (term sheet); farmer.pl, forsal.pl (2025).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Siedziba i zakłady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Münster (siedziba); produkcja w Krefeld (DE) i La Vall d'Uixó (ES); pakowanie w Deinze (BE); hub w Patras (GR).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Zasięg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Biura sprzedaży w 22 krajach, sprzedaż do ok. 100 krajów; ok. 700–750 pracowników.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Wynik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EBITDA Grupy Compo Expert ok. 190 mln zł w 2025 (177 mln zł w 2024) według ISBnews. Nawozy specjalistyczne to ok. 22% przychodów segmentu Agro (wypowiedź zarządu, data niepewna).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Portfolio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Nawozy o kontrolowanym uwalnianiu (Basacote, Floranid), stabilizowane (NovaTec, Blaukorn), rozpuszczalne (Hakaphos), dolistne i biostymulatory (Basfoliar, Vitanica), kwasy humusowe (Kamasol).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Klienci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Sady, warzywa, uprawy specjalne, murawy i tereny zielone, szkółki; mniej uprawy polowe.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Polska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 EXPERT Polska; od 2023 wyłącznym dystrybutorem był Agrochem Puławy (aktualność do sprawdzenia). 18.02.2026 w Tarnowie spółka ogłosiła priorytety: biostymulatory i produkty mikrobiologiczne, doradztwo techniczne z dystrybutorami, narzędzia wspierające decyzje nawozowe.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i/>
          <w:iCs/>
          <w:color w:val="5B6861"/>
          <w:sz w:val="16"/>
          <w:szCs w:val="16"/>
        </w:rPr>
        <w:t xml:space="preserve">Źródła: compo-expert.com, grupaazoty.com (aktualności 2023 i 18.02.2026), inwestycje.pl, northdata.com.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Narzędzia cyfrowe (z dokumentów na Drive)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FarmHub (rolnicy) i TurfHub (murawy): CRM handlowca, doradztwo agronomiczne i AI, m.in. chatbot dla klientów, asystent głosowy handlowca, rozpoznawanie chorób ze zdjęć.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 2026 narzędzie wewnętrzne; w 2026 otwiera się na klientów i dystrybutorów. Integracja z SAP w planach.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Wizja zarządu FarmHub: AI pobiera dane z SAP i przewiduje zachowania zakupowe klientów i dystrybutorów. To ten sam problem, co luka 1 Grupy (nie widzimy rolnika).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Compo opisuje u siebie ten sam problem co Grupa: wiedza i dane w silosach, rozproszone po systemach i w głowach ekspertów.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B6861"/>
          <w:sz w:val="16"/>
          <w:szCs w:val="16"/>
        </w:rPr>
        <w:t xml:space="preserve">Źródła: 2026-02-16 FarmHub TurfHub GMT.pptx, 2026-01-21 GMT Digital and AI.pptx, FarmHub_Analiza.pdf, Brief Synergie Grupa Azoty × Compo Expert × GAia.pdf.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Synergie z Grupą: co wiadomo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Plan z 2018: synergie 40 mln EUR do 2024. W 2019 zrealizowano ok. 6 mln EUR; nowszych publicznych danych brak.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Umowa z 17.08.2023: Compo Expert dystrybuuje za granicą nawozy azotowe i wieloskładnikowe Grupy. Umowa bezterminowa, harmonogram dostaw do końca 2024; czy jest realizowana dalej, nie wiadomo.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Maj 2026, zarząd Grupy: „chcemy w pełni wykorzystać wszystkie synergie zakupowe”, co sugeruje, że nie są jeszcze domknięte.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Dwa równoległe tory w Grupie: Compo Polska buduje „narzędzia wspierające decyzje nawozowe”, a GAia buduje doradztwo i kalkulator dla rolnika. Bez połączenia grozi dublowanie pracy.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Ryzyko kanałów: produkty Compo, Agrochem Puławy i sieć 68 dystrybutorów Grupy mogą składać tym samym dystrybutorom podobne oferty z kilku stron.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Regulacje UE dla otoczek polimerowych (biodegradowalność) dotyczą bezpośrednio Basacote; zakres dat do sprawdzenia w EUR-Lex.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B6861"/>
          <w:sz w:val="16"/>
          <w:szCs w:val="16"/>
        </w:rPr>
        <w:t xml:space="preserve">Źródła: money.pl, biznesradar.pl (synergie), grupaazoty.com (umowa 2023), inwestycje.pl (2026), rozporządzenie delegowane UE 2024/2770.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2. Sytuacja gospodarcza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Temat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 na początek października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Gaz (TTF)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Ok. 76–80 EUR/MWh (rozbieżne źródła), po ok. 32 EUR pod koniec lutego. Skok po wojnie z Iranem, zamknięciu Ormuzu i force majeure QatarEnergy. Gaz to 60–80% kosztu nawozów azotowych. Według transkryptu wyników Grupy za II kw. koszt gazu wzrósł o 92%, a ceny można zmieniać nawet co tydzień.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Cła UE (Rosja, Białoruś)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Rozporządzenie 2025/1227: azotowe 6,5% + 60 EUR/t od 1.07.2026, potem 80 EUR/t (2027) i 315 EUR/t (2028). Wieloskładnikowe: 70, 95, 430 EUR/t. Import azotowych spoza UE w I–VII 2026: ok. 89 tys. t wobec ok. 898 tys. t rok wcześniej (do potwierdzenia).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Zawieszenie ceł MFN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22.05.2026 Rada UE zawiesiła na rok cła na mocznik i amoniak z innych krajów, w ramach kontyngentów. Tańszy import mocznika to konkurencja, a tańszy amoniak może być surowcem.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CBAM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Faza definitywna od 1.01.2026; certyfikaty za 2026 kupowane od 1.02.2027. Zawieszenia dla nawozów nie ma (komisja ENVI za usunięciem klauzuli, komisarz Hansen przeciw zawieszeniu). Jednocześnie maleją darmowe uprawnienia ETS, co podraża produkcję w kraju.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Rolnik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Pszenica ok. 920 zł/t, rzepak ok. 2360 zł/t (7.10). Saletra ok. 2010–2150 zł/t netto, mocznik do +40% r/r w części regionów. Nowy cennik Grupy od 2.10.2026: średnio ok. +70 zł/t (do potwierdzenia). Nawozy drożeją szybciej niż płody rolne. Wnioski o dopłaty do nawozów: 1–23.10.2026, do 500 zł/ha.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Sezon wiosna 2026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 marcu Grupa wstrzymała przyjmowanie nowych zamówień na nawozy azotowe, a Anwil dostarczał bez ograniczeń. Branża ostrzega przed brakami NPK jesienią i azotu wiosną 2027 (opinie, nie prognozy).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Konkurencja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Anwil (Orlen) ok. 1,46 mln t mocy, w I kw. 2026 pracował na 100%. Orlen kupuje GA Polyolefins za 1,183 mld zł, więc jest jednocześnie konkurentem w nawozach i stroną restrukturyzacji Grupy. Import przesunął się z Rosji do Niemiec.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Grupa Azoty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2025: przychody 13,1 mld zł, EBITDA 323 mln zł. I półrocze 2026: przychody ok. 7,07 mld zł, EBITDA 610 mln zł, strata netto ok. 594 mln zł. Restrukturyzacja długu (term sheet z 11 instytucjami, cash sweep, kowenanty na capex), emisja akcji serii E dla Skarbu Państwa ok. 600 mln zł (NWZ 22.09.2026). Prezes Marcin Celejewski od 2.03.2026.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Makro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Stopa referencyjna 3,75%, inflacja 4,0% (wrzesień), EUR/PLN ok. 4,38, PMI przemysłu 49,0.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KSeF</w:t>
            </w:r>
          </w:p>
        </w:tc>
        <w:tc>
          <w:tcPr>
            <w:tcW w:type="dxa" w:w="7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 1.02.2026 obowiązek dla firm ze sprzedażą powyżej 200 mln zł, od 1.04.2026 dla pozostałych. Kary zawieszone do końca 2026 (projekt przesunięcia do końca 2027). Dystrybutorzy wystawiają już e-faktury, ale Grupa nie widzi ich faktur dla rolników.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i/>
          <w:iCs/>
          <w:color w:val="5B6861"/>
          <w:sz w:val="16"/>
          <w:szCs w:val="16"/>
        </w:rPr>
        <w:t xml:space="preserve">Źródła: tradingeconomics.com, modoenergy.com, fertilizerdaily.com, ukragroconsult.com, eunews.it, pwc.ch, data.consilium.europa.eu, argusmedia.com, cenyrolnicze.pl, farmer.pl, topagrar.pl, bankier.pl, wnp.pl, parkiet.com, grupaazoty.com, tvn24.pl, jpk.info.pl.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z tego wynika dla Grupy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Gaz decyduje o wyniku, a ceny zmieniają się co tydzień. Handel, produkcja i finanse patrzą na różne dane: koszt gazu, marżę, zapasy u dystrybutorów.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Rynek otwiera się po spadku importu z Rosji i Białorusi, ale udział zdobędzie ten, kto dostarczy w sezonie. Wiosną 2026 dostarczał Anwil.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Brak widoczności rolnika jest teraz szczególnie kosztowny: rolnicy odkładają zakupy do dopłat, a popyt przychodzi falami.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Regulacje działają w dwie strony: cła i CBAM chronią przed importem, ETS podnosi koszt produkcji w kraju.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Restrukturyzacja zawęża pole manewru: liczą się usprawnienia, które szybko poprawiają marżę lub kapitał obrotowy bez dużych projektów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Compo Expert zostaje w Grupie i ma produkty mniej zależne od gazu, doradztwo agronomiczne i narzędzia cyfrowe.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3. Wstępne punkty styku dla strategii</w:t>
      </w:r>
    </w:p>
    <w:p>
      <w:pPr>
        <w:shd w:fill="FBEFD9" w:color="auto" w:val="clear"/>
        <w:spacing w:after="120" w:before="0"/>
      </w:pPr>
      <w:r>
        <w:rPr>
          <w:rFonts w:ascii="Calibri" w:cs="Calibri" w:eastAsia="Calibri" w:hAnsi="Calibri"/>
          <w:b/>
          <w:bCs/>
          <w:color w:val="B86E00"/>
          <w:sz w:val="20"/>
          <w:szCs w:val="20"/>
        </w:rPr>
        <w:t xml:space="preserve">Do potwierdzenia: </w:t>
      </w:r>
      <w:r>
        <w:rPr>
          <w:rFonts w:ascii="Calibri" w:cs="Calibri" w:eastAsia="Calibri" w:hAnsi="Calibri"/>
          <w:sz w:val="20"/>
          <w:szCs w:val="20"/>
        </w:rPr>
        <w:t xml:space="preserve">ta lista jeszcze nie przeszła weryfikacji pod kątem nakładania się z rolą McKinsey, IT i innych działów. Ostateczna wersja będzie w kolejnym dokumencie.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738"/>
      </w:tblGrid>
      <w:tr>
        <w:trPr>
          <w:cantSplit/>
        </w:trPr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Połączenie</w:t>
            </w:r>
          </w:p>
        </w:tc>
        <w:tc>
          <w:tcPr>
            <w:tcW w:type="dxa" w:w="32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łączy</w:t>
            </w:r>
          </w:p>
        </w:tc>
        <w:tc>
          <w:tcPr>
            <w:tcW w:type="dxa" w:w="37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Wkład ze strony strategii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 Expert ↔ GAia ↔ handel i marketing</w:t>
            </w:r>
          </w:p>
        </w:tc>
        <w:tc>
          <w:tcPr>
            <w:tcW w:type="dxa" w:w="32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Doradztwo agronomiczne i narzędzia Compo (FarmHub, Crop Companion) z GAią i dystrybutorami Grupy</w:t>
            </w:r>
          </w:p>
        </w:tc>
        <w:tc>
          <w:tcPr>
            <w:tcW w:type="dxa" w:w="37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Jeden obraz tego, co już powstaje w Compo Polska i w GAia, żeby dwa tory się uzupełniały, a nie dublowały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 Expert ↔ handel ↔ Agrochem ↔ dystrybutorzy</w:t>
            </w:r>
          </w:p>
        </w:tc>
        <w:tc>
          <w:tcPr>
            <w:tcW w:type="dxa" w:w="32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Nawozy specjalistyczne, AN/CAN i NPK w tej samej sieci dystrybucji</w:t>
            </w:r>
          </w:p>
        </w:tc>
        <w:tc>
          <w:tcPr>
            <w:tcW w:type="dxa" w:w="37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 oferty dla dystrybutora: który produkt, z której spółki, w jakiej roli w ofercie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 Expert ↔ handel zagraniczny ↔ produkcja</w:t>
            </w:r>
          </w:p>
        </w:tc>
        <w:tc>
          <w:tcPr>
            <w:tcW w:type="dxa" w:w="32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Umowa dystrybucyjna z 2023: Compo sprzedaje nawozy Grupy za granicą</w:t>
            </w:r>
          </w:p>
        </w:tc>
        <w:tc>
          <w:tcPr>
            <w:tcW w:type="dxa" w:w="37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Ustalenie, co z umowy działa po 2024 i jak wpisuje się w cele strategii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Rynek i regulacje ↔ handel, kontroling, produkcja, McKinsey</w:t>
            </w:r>
          </w:p>
        </w:tc>
        <w:tc>
          <w:tcPr>
            <w:tcW w:type="dxa" w:w="32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Gaz, cła, CBAM, ETS, dopłaty, ceny płodów, działania Anwilu</w:t>
            </w:r>
          </w:p>
        </w:tc>
        <w:tc>
          <w:tcPr>
            <w:tcW w:type="dxa" w:w="37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Regularny, krótki przegląd rynku i regulacji w jednym miejscu, jako wspólny punkt odniesienia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Rynek i dystrybutorzy ↔ prace integracyjne</w:t>
            </w:r>
          </w:p>
        </w:tc>
        <w:tc>
          <w:tcPr>
            <w:tcW w:type="dxa" w:w="32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Doświadczenia z sezonu (wstrzymanie zamówień w marcu 2026), głos dystrybutorów</w:t>
            </w:r>
          </w:p>
        </w:tc>
        <w:tc>
          <w:tcPr>
            <w:tcW w:type="dxa" w:w="37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Wnioski z rynku jako materiał wejściowy do prac McKinsey i Pani Dyrektor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KSeF i dane dystrybutorów ↔ finanse i IT</w:t>
            </w:r>
          </w:p>
        </w:tc>
        <w:tc>
          <w:tcPr>
            <w:tcW w:type="dxa" w:w="32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E-faktury dystrybutorów, luka 2 (prawdziwa marża), luka 1 (sprzedaż do rolnika)</w:t>
            </w:r>
          </w:p>
        </w:tc>
        <w:tc>
          <w:tcPr>
            <w:tcW w:type="dxa" w:w="37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Sformułowanie pytania biznesowego: jakich danych potrzebuje strategia; rozwiązanie po stronie finansów i IT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4. Do sprawdzenia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Czy wyłączność Agrochemu Puławy na produkty Compo w Polsce nadal obowiązuje.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Czy umowa dystrybucyjna z 2023 (Compo sprzedaje nawozy Grupy za granicą) jest realizowana po 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Przychody Compo Expert za 2024–2025 (Bundesanzeiger, noty segmentowe w raporcie rocznym Grupy).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Liczba dystrybutorów: dokumenty podają 68, 66 lub 64.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Slajd „Top 3 dla Prezesa” i brief synergii z Compo zawierają terminy (30/90 dni, 0–6/6–18 mies.), które trzeba usunąć przed ponownym użyciem.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861"/>
        <w:sz w:val="16"/>
        <w:szCs w:val="16"/>
      </w:rPr>
      <w:t xml:space="preserve">Notatka robocza · str. </w:t>
    </w:r>
    <w:r>
      <w:rPr>
        <w:color w:val="5B68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  <w:lvl w:ilvl="1" w15:tentative="1">
      <w:start w:val="1"/>
      <w:numFmt w:val="bullet"/>
      <w:lvlText w:val="–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2026-10-08T11:29:21.400Z</dcterms:created>
  <dcterms:modified xsi:type="dcterms:W3CDTF">2026-10-08T11:29:21.406Z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