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Шаблон отчёта по лабораторной работе</w:t>
      </w:r>
    </w:p>
    <w:p>
      <w:pPr>
        <w:pStyle w:val="Subtitle"/>
      </w:pPr>
      <w:r>
        <w:t xml:space="preserve">Простейший вариант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Здесь приводится формулировка цели лабораторной работы.</w:t>
      </w:r>
      <w:r>
        <w:t xml:space="preserve"> </w:t>
      </w:r>
      <w:r>
        <w:t xml:space="preserve">Формулировки цели для каждой лабораторной работы приведены в методических указаниях.</w:t>
      </w:r>
    </w:p>
    <w:p>
      <w:pPr>
        <w:pStyle w:val="BodyText"/>
      </w:pPr>
      <w:r>
        <w:t xml:space="preserve">Цель данного шаблона — максимально упростить подготовку отчётов по лабораторным работам.</w:t>
      </w:r>
      <w:r>
        <w:t xml:space="preserve"> </w:t>
      </w:r>
      <w:r>
        <w:t xml:space="preserve">Модифицируя данный шаблон, студенты смогут без труда подготовить отчёт по лабораторным работам, а также познакомиться с основными возможностями разметки Markdown.</w:t>
      </w:r>
    </w:p>
    <w:bookmarkEnd w:id="20"/>
    <w:bookmarkStart w:id="21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Здесь приводится описание задания в соответствии с рекомендациями методического пособия и выданным вариантом.</w:t>
      </w:r>
    </w:p>
    <w:bookmarkEnd w:id="21"/>
    <w:bookmarkStart w:id="22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Здесь описываются теоретические аспекты, связанные с выполнением работы.</w:t>
      </w:r>
    </w:p>
    <w:p>
      <w:pPr>
        <w:pStyle w:val="BodyText"/>
      </w:pPr>
      <w:r>
        <w:t xml:space="preserve">Например, в</w:t>
      </w:r>
      <w:r>
        <w:t xml:space="preserve"> </w:t>
      </w:r>
      <w:r>
        <w:t xml:space="preserve">[табл. @tbl-std-dir]</w:t>
      </w:r>
      <w:r>
        <w:t xml:space="preserve"> </w:t>
      </w:r>
      <w:r>
        <w:t xml:space="preserve">приведено краткое описание стандартных каталогов Unix.</w:t>
      </w:r>
    </w:p>
    <w:p>
      <w:pPr>
        <w:pStyle w:val="TableCaption"/>
      </w:pPr>
      <w:r>
        <w:t xml:space="preserve">Описание некоторых каталогов файловой системы GNU Linux {#tbl-std-dir}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Описание некоторых каталогов файловой системы GNU Linux {#tbl-std-dir}"/>
      </w:tblPr>
      <w:tblGrid>
        <w:gridCol w:w="803"/>
        <w:gridCol w:w="71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 каталога</w:t>
            </w:r>
          </w:p>
        </w:tc>
        <w:tc>
          <w:tcPr/>
          <w:p>
            <w:pPr>
              <w:pStyle w:val="Compact"/>
            </w:pPr>
            <w:r>
              <w:t xml:space="preserve">Описание каталога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Корневая директория, содержащая всю файловую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</w:p>
        </w:tc>
        <w:tc>
          <w:tcPr/>
          <w:p>
            <w:pPr>
              <w:pStyle w:val="Compact"/>
            </w:pPr>
            <w:r>
              <w:t xml:space="preserve">Основные системные утилиты, необходимые как в однопользовательском режиме, так и при обычной работе всем пользователям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t xml:space="preserve">Общесистемные конфигурационные файлы и файлы конфигурации установленных программ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Содержит домашние директории пользователей, которые, в свою очередь, содержат персональные настройки и данные пользователя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t xml:space="preserve">Точки монтирования для сменных носителей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</w:pPr>
            <w:r>
              <w:t xml:space="preserve">Домашняя директория пользователя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Временные файлы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</w:p>
        </w:tc>
        <w:tc>
          <w:tcPr/>
          <w:p>
            <w:pPr>
              <w:pStyle w:val="Compact"/>
            </w:pPr>
            <w:r>
              <w:t xml:space="preserve">Вторичная иерархия для данных пользователя</w:t>
            </w:r>
          </w:p>
        </w:tc>
      </w:tr>
    </w:tbl>
    <w:p>
      <w:pPr>
        <w:pStyle w:val="BodyText"/>
      </w:pPr>
      <w:r>
        <w:t xml:space="preserve">Более подробно про Unix см. в</w:t>
      </w:r>
      <w:r>
        <w:t xml:space="preserve"> </w:t>
      </w:r>
      <w:r>
        <w:t xml:space="preserve">[@tanenbaum_book_modern-os_ru; @robbins_book_bash_en; @zarrelli_book_mastering-bash_en; @newham_book_learning-bash_en]</w:t>
      </w:r>
      <w:r>
        <w:t xml:space="preserve">.</w:t>
      </w:r>
    </w:p>
    <w:bookmarkEnd w:id="22"/>
    <w:bookmarkStart w:id="27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Описываются проведённые действия, в качестве иллюстрации даётся ссылка на иллюстрацию (</w:t>
      </w:r>
      <w:r>
        <w:t xml:space="preserve">[рис. @fig-001]</w:t>
      </w:r>
      <w:r>
        <w:t xml:space="preserve">).</w:t>
      </w:r>
    </w:p>
    <w:bookmarkStart w:id="26" w:name="fig-001"/>
    <w:p>
      <w:pPr>
        <w:pStyle w:val="CaptionedFigure"/>
      </w:pPr>
      <w:r>
        <w:drawing>
          <wp:inline>
            <wp:extent cx="3733800" cy="1938906"/>
            <wp:effectExtent b="0" l="0" r="0" t="0"/>
            <wp:docPr descr="V Сольвеевский конгресс (1927) «Электроны и фотоны»" title="" id="24" name="Picture"/>
            <a:graphic>
              <a:graphicData uri="http://schemas.openxmlformats.org/drawingml/2006/picture">
                <pic:pic>
                  <pic:nvPicPr>
                    <pic:cNvPr descr="image/solvay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38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 Сольвеевский конгресс (1927) «Электроны и фотоны»</w:t>
      </w:r>
    </w:p>
    <w:bookmarkEnd w:id="26"/>
    <w:bookmarkEnd w:id="27"/>
    <w:bookmarkStart w:id="28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Здесь кратко описываются итоги проделанной работы.</w:t>
      </w:r>
    </w:p>
    <w:bookmarkEnd w:id="28"/>
    <w:bookmarkStart w:id="30" w:name="список-литературы"/>
    <w:p>
      <w:pPr>
        <w:pStyle w:val="Heading1"/>
      </w:pPr>
      <w:r>
        <w:t xml:space="preserve">Список литературы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по лабораторной работе</dc:title>
  <dc:creator/>
  <cp:keywords/>
  <dcterms:created xsi:type="dcterms:W3CDTF">2026-05-29T21:04:42Z</dcterms:created>
  <dcterms:modified xsi:type="dcterms:W3CDTF">2026-05-29T21:04:42Z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Простейший вариант</vt:lpwstr>
  </property>
</Properties>
</file>