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6"/>
          <w:szCs w:val="36"/>
          <w:rtl w:val="0"/>
        </w:rPr>
        <w:t xml:space="preserve">EJERCICIO NORMALIZACIÓN</w:t>
      </w:r>
    </w:p>
    <w:p w:rsidR="00000000" w:rsidDel="00000000" w:rsidP="00000000" w:rsidRDefault="00000000" w:rsidRPr="00000000" w14:paraId="00000002">
      <w:pPr>
        <w:jc w:val="left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La normalización es un proceso en el diseño de bases de datos para organizar la información de manera eficiente y reducir la redundancia. Se</w:t>
      </w:r>
    </w:p>
    <w:p w:rsidR="00000000" w:rsidDel="00000000" w:rsidP="00000000" w:rsidRDefault="00000000" w:rsidRPr="00000000" w14:paraId="0000000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plantea la siguiente actividad para que realices la siguiente información llevando la solución hasta la tercera forma normal.</w:t>
      </w:r>
    </w:p>
    <w:p w:rsidR="00000000" w:rsidDel="00000000" w:rsidP="00000000" w:rsidRDefault="00000000" w:rsidRPr="00000000" w14:paraId="00000005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Realiza el proceso completo, paso a paso indicando en cada interacción que es aquello que se ha detectado y como se ha corregido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u w:val="single"/>
          <w:rtl w:val="0"/>
        </w:rPr>
        <w:t xml:space="preserve">1FN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En este caso las tablas ya se encuentran en primera forma normal ya que los valores de cada atributo son atómicos, no exiten distintos valores para el mismo atributo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u w:val="single"/>
          <w:rtl w:val="0"/>
        </w:rPr>
        <w:t xml:space="preserve">2FN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En este caso, debemos de tener en cuenta que para la segunda forma normal los atributos deben depender de forma completa de la clave primaria, cosa que no ocurre.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Tabla libros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nacionalidad de autor y el autor no depende de de forma completa de la clave principal isbn por lo que debe de ir separado en una tabla distinta que está relacionado con libros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Tabla clientes →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al igual que el anterior esta debe de separarse entre clientes y reservas ya que estas no dependen completamente de DNI como clave principal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Modificaciones reservas →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Libro por ISBN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Cliente por DNI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Libro alquilado por 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