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6"/>
        </w:rPr>
        <w:t>DUOC UC | ESCUELA DE INFORMÁTICA Y TELECOMUNICACIONES</w:t>
        <w:br/>
        <w:t>INGENIERÍA EN INFORMÁTICA</w:t>
      </w:r>
    </w:p>
    <w:p>
      <w:pPr>
        <w:spacing w:after="720"/>
      </w:pPr>
    </w:p>
    <w:p>
      <w:pPr>
        <w:jc w:val="center"/>
      </w:pPr>
      <w:r>
        <w:rPr>
          <w:b/>
          <w:color w:val="002244"/>
          <w:sz w:val="30"/>
        </w:rPr>
        <w:t>INFORME TÉCNICO DE SEGURIDAD, CALIDAD Y ASEGURAMIENTO DEL SOFTWARE</w:t>
        <w:br/>
        <w:br/>
        <w:t>EVALUACIÓN PARCIAL Nº 3</w:t>
        <w:br/>
        <w:t>AUDITORÍA ESTÁTICA CON SONARQUBE Y PLAN INTEGRAL DE PRUEBAS</w:t>
      </w:r>
    </w:p>
    <w:p>
      <w:pPr>
        <w:jc w:val="center"/>
      </w:pPr>
      <w:r>
        <w:rPr>
          <w:i/>
          <w:color w:val="555555"/>
          <w:sz w:val="24"/>
        </w:rPr>
        <w:t>Caso de Aplicación: Sistema de Exámenes Médicos Cuidarte+</w:t>
        <w:br/>
        <w:t>CreaLab SpA</w:t>
      </w:r>
    </w:p>
    <w:p>
      <w:pPr>
        <w:spacing w:after="1440"/>
      </w:pPr>
    </w:p>
    <w:p>
      <w:pPr>
        <w:spacing w:line="312" w:lineRule="auto"/>
        <w:jc w:val="left"/>
      </w:pPr>
      <w:r>
        <w:rPr>
          <w:b/>
        </w:rPr>
        <w:t xml:space="preserve">Asignatura: </w:t>
      </w:r>
      <w:r>
        <w:t>ISY1102 - Seguridad y Calidad en el Desarrollo de Software</w:t>
        <w:br/>
      </w:r>
      <w:r>
        <w:rPr>
          <w:b/>
        </w:rPr>
        <w:t xml:space="preserve">Sección: </w:t>
      </w:r>
      <w:r>
        <w:t>001D</w:t>
        <w:br/>
      </w:r>
      <w:r>
        <w:rPr>
          <w:b/>
        </w:rPr>
        <w:t xml:space="preserve">Docente: </w:t>
      </w:r>
      <w:r>
        <w:t>Profesor de Cátedra de Calidad y Seguridad de Software</w:t>
        <w:br/>
      </w:r>
      <w:r>
        <w:rPr>
          <w:b/>
        </w:rPr>
        <w:t xml:space="preserve">Integrantes: </w:t>
      </w:r>
      <w:r>
        <w:t>Equipo de Desarrollo y Auditoría QA (Ángel y Colaboradores)</w:t>
        <w:br/>
      </w:r>
      <w:r>
        <w:rPr>
          <w:b/>
        </w:rPr>
        <w:t xml:space="preserve">Fecha de Entrega: </w:t>
      </w:r>
      <w:r>
        <w:t>24 de Octubre de 2026</w:t>
        <w:br/>
      </w:r>
      <w:r>
        <w:rPr>
          <w:b/>
        </w:rPr>
        <w:t xml:space="preserve">Sede: </w:t>
      </w:r>
      <w:r>
        <w:t>Duoc UC, Santiago de Chile</w:t>
      </w:r>
    </w:p>
    <w:p>
      <w:r>
        <w:br w:type="page"/>
      </w:r>
    </w:p>
    <w:p>
      <w:pPr>
        <w:keepNext/>
        <w:spacing w:line="360" w:lineRule="auto" w:before="320" w:after="160"/>
      </w:pPr>
      <w:r>
        <w:rPr>
          <w:rFonts w:ascii="Arial" w:hAnsi="Arial"/>
          <w:b/>
          <w:color w:val="003366"/>
          <w:sz w:val="24"/>
        </w:rPr>
        <w:t>ÍNDICE DE CONTENIDOS</w:t>
      </w:r>
    </w:p>
    <w:p>
      <w:pPr>
        <w:spacing w:line="276" w:lineRule="auto" w:after="60"/>
      </w:pPr>
      <w:r>
        <w:rPr>
          <w:rFonts w:ascii="Arial" w:hAnsi="Arial"/>
          <w:sz w:val="20"/>
        </w:rPr>
        <w:t>1. Introducción .................................................................................................................... 3</w:t>
      </w:r>
    </w:p>
    <w:p>
      <w:pPr>
        <w:spacing w:line="276" w:lineRule="auto" w:after="60"/>
      </w:pPr>
      <w:r>
        <w:rPr>
          <w:rFonts w:ascii="Arial" w:hAnsi="Arial"/>
          <w:sz w:val="20"/>
        </w:rPr>
        <w:t xml:space="preserve">   1.1 Contexto del Software y Módulo a Evaluar ................................................................ 3</w:t>
      </w:r>
    </w:p>
    <w:p>
      <w:pPr>
        <w:spacing w:line="276" w:lineRule="auto" w:after="60"/>
      </w:pPr>
      <w:r>
        <w:rPr>
          <w:rFonts w:ascii="Arial" w:hAnsi="Arial"/>
          <w:sz w:val="20"/>
        </w:rPr>
        <w:t xml:space="preserve">   1.2 Propósito del Plan de Pruebas y Aseguramiento ...................................................... 3</w:t>
      </w:r>
    </w:p>
    <w:p>
      <w:pPr>
        <w:spacing w:line="276" w:lineRule="auto" w:after="60"/>
      </w:pPr>
      <w:r>
        <w:rPr>
          <w:rFonts w:ascii="Arial" w:hAnsi="Arial"/>
          <w:sz w:val="20"/>
        </w:rPr>
        <w:t xml:space="preserve">   1.3 Ajustes Basados en la Evaluación Parcial 1 ............................................................. 4</w:t>
      </w:r>
    </w:p>
    <w:p>
      <w:pPr>
        <w:spacing w:line="276" w:lineRule="auto" w:after="60"/>
      </w:pPr>
      <w:r>
        <w:rPr>
          <w:rFonts w:ascii="Arial" w:hAnsi="Arial"/>
          <w:sz w:val="20"/>
        </w:rPr>
        <w:t xml:space="preserve">   1.4 Estructura del Informe ................................................................................................ 4</w:t>
      </w:r>
    </w:p>
    <w:p>
      <w:pPr>
        <w:spacing w:line="276" w:lineRule="auto" w:after="60"/>
      </w:pPr>
      <w:r>
        <w:rPr>
          <w:rFonts w:ascii="Arial" w:hAnsi="Arial"/>
          <w:sz w:val="20"/>
        </w:rPr>
        <w:t>2. Criterios de Calidad, Seguridad y Cumplimiento Normativo ............................................. 5</w:t>
      </w:r>
    </w:p>
    <w:p>
      <w:pPr>
        <w:spacing w:line="276" w:lineRule="auto" w:after="60"/>
      </w:pPr>
      <w:r>
        <w:rPr>
          <w:rFonts w:ascii="Arial" w:hAnsi="Arial"/>
          <w:sz w:val="20"/>
        </w:rPr>
        <w:t xml:space="preserve">   2.1 Calidad del Software bajo Estándar ISO/IEC 25010 ................................................... 5</w:t>
      </w:r>
    </w:p>
    <w:p>
      <w:pPr>
        <w:spacing w:line="276" w:lineRule="auto" w:after="60"/>
      </w:pPr>
      <w:r>
        <w:rPr>
          <w:rFonts w:ascii="Arial" w:hAnsi="Arial"/>
          <w:sz w:val="20"/>
        </w:rPr>
        <w:t xml:space="preserve">   2.2 Seguridad de la Información (Confidencialidad, Integridad y Disponibilidad) ........... 6</w:t>
      </w:r>
    </w:p>
    <w:p>
      <w:pPr>
        <w:spacing w:line="276" w:lineRule="auto" w:after="60"/>
      </w:pPr>
      <w:r>
        <w:rPr>
          <w:rFonts w:ascii="Arial" w:hAnsi="Arial"/>
          <w:sz w:val="20"/>
        </w:rPr>
        <w:t xml:space="preserve">   2.3 Cumplimiento Normativo y Marco Regulatorio Chileno ............................................ 7</w:t>
      </w:r>
    </w:p>
    <w:p>
      <w:pPr>
        <w:spacing w:line="276" w:lineRule="auto" w:after="60"/>
      </w:pPr>
      <w:r>
        <w:rPr>
          <w:rFonts w:ascii="Arial" w:hAnsi="Arial"/>
          <w:sz w:val="20"/>
        </w:rPr>
        <w:t>3. Plan de Pruebas de Software ........................................................................................... 8</w:t>
      </w:r>
    </w:p>
    <w:p>
      <w:pPr>
        <w:spacing w:line="276" w:lineRule="auto" w:after="60"/>
      </w:pPr>
      <w:r>
        <w:rPr>
          <w:rFonts w:ascii="Arial" w:hAnsi="Arial"/>
          <w:sz w:val="20"/>
        </w:rPr>
        <w:t xml:space="preserve">   3.1 Estrategia de Pruebas y Metodología Mixta ............................................................ 8</w:t>
      </w:r>
    </w:p>
    <w:p>
      <w:pPr>
        <w:spacing w:line="276" w:lineRule="auto" w:after="60"/>
      </w:pPr>
      <w:r>
        <w:rPr>
          <w:rFonts w:ascii="Arial" w:hAnsi="Arial"/>
          <w:sz w:val="20"/>
        </w:rPr>
        <w:t xml:space="preserve">   3.2 Clasificación de Tipos de Prueba y Justificación Técnica .......................................... 9</w:t>
      </w:r>
    </w:p>
    <w:p>
      <w:pPr>
        <w:spacing w:line="276" w:lineRule="auto" w:after="60"/>
      </w:pPr>
      <w:r>
        <w:rPr>
          <w:rFonts w:ascii="Arial" w:hAnsi="Arial"/>
          <w:sz w:val="20"/>
        </w:rPr>
        <w:t xml:space="preserve">   3.3 Criterios de Aceptación Transversales y de Negocio .............................................. 10</w:t>
      </w:r>
    </w:p>
    <w:p>
      <w:pPr>
        <w:spacing w:line="276" w:lineRule="auto" w:after="60"/>
      </w:pPr>
      <w:r>
        <w:rPr>
          <w:rFonts w:ascii="Arial" w:hAnsi="Arial"/>
          <w:sz w:val="20"/>
        </w:rPr>
        <w:t xml:space="preserve">   3.4 Herramientas Tecnológicas y Recursos Requeridos ............................................... 11</w:t>
      </w:r>
    </w:p>
    <w:p>
      <w:pPr>
        <w:spacing w:line="276" w:lineRule="auto" w:after="60"/>
      </w:pPr>
      <w:r>
        <w:rPr>
          <w:rFonts w:ascii="Arial" w:hAnsi="Arial"/>
          <w:sz w:val="20"/>
        </w:rPr>
        <w:t>4. Diseño de Casos de Prueba ............................................................................................ 12</w:t>
      </w:r>
    </w:p>
    <w:p>
      <w:pPr>
        <w:spacing w:line="276" w:lineRule="auto" w:after="60"/>
      </w:pPr>
      <w:r>
        <w:rPr>
          <w:rFonts w:ascii="Arial" w:hAnsi="Arial"/>
          <w:sz w:val="20"/>
        </w:rPr>
        <w:t xml:space="preserve">   4.1 Matriz de Trazabilidad y Cobertura del 100% de Requerimientos ERS .................... 12</w:t>
      </w:r>
    </w:p>
    <w:p>
      <w:pPr>
        <w:spacing w:line="276" w:lineRule="auto" w:after="60"/>
      </w:pPr>
      <w:r>
        <w:rPr>
          <w:rFonts w:ascii="Arial" w:hAnsi="Arial"/>
          <w:sz w:val="20"/>
        </w:rPr>
        <w:t xml:space="preserve">   4.2 Fichas Detalladas de Casos de Prueba Representativos (CP-01 a CP-05) ................ 14</w:t>
      </w:r>
    </w:p>
    <w:p>
      <w:pPr>
        <w:spacing w:line="276" w:lineRule="auto" w:after="60"/>
      </w:pPr>
      <w:r>
        <w:rPr>
          <w:rFonts w:ascii="Arial" w:hAnsi="Arial"/>
          <w:sz w:val="20"/>
        </w:rPr>
        <w:t>5. Ejecución de Pruebas y Resultados de Auditoría Estática (SonarQube) ........................... 18</w:t>
      </w:r>
    </w:p>
    <w:p>
      <w:pPr>
        <w:spacing w:line="276" w:lineRule="auto" w:after="60"/>
      </w:pPr>
      <w:r>
        <w:rPr>
          <w:rFonts w:ascii="Arial" w:hAnsi="Arial"/>
          <w:sz w:val="20"/>
        </w:rPr>
        <w:t xml:space="preserve">   5.1 Resumen Global de Ejecución de Pruebas ............................................................... 18</w:t>
      </w:r>
    </w:p>
    <w:p>
      <w:pPr>
        <w:spacing w:line="276" w:lineRule="auto" w:after="60"/>
      </w:pPr>
      <w:r>
        <w:rPr>
          <w:rFonts w:ascii="Arial" w:hAnsi="Arial"/>
          <w:sz w:val="20"/>
        </w:rPr>
        <w:t xml:space="preserve">   5.2 Detalle de Ejecución y Evidencias Técnicas .............................................................. 19</w:t>
      </w:r>
    </w:p>
    <w:p>
      <w:pPr>
        <w:spacing w:line="276" w:lineRule="auto" w:after="60"/>
      </w:pPr>
      <w:r>
        <w:rPr>
          <w:rFonts w:ascii="Arial" w:hAnsi="Arial"/>
          <w:sz w:val="20"/>
        </w:rPr>
        <w:t xml:space="preserve">   5.3 Escala y Análisis de Criticidad de Incidentes (SonarQube) ........................................ 20</w:t>
      </w:r>
    </w:p>
    <w:p>
      <w:pPr>
        <w:spacing w:line="276" w:lineRule="auto" w:after="60"/>
      </w:pPr>
      <w:r>
        <w:rPr>
          <w:rFonts w:ascii="Arial" w:hAnsi="Arial"/>
          <w:sz w:val="20"/>
        </w:rPr>
        <w:t>6. Análisis Ético y Normativo de los Resultados Obtenidos ................................................... 23</w:t>
      </w:r>
    </w:p>
    <w:p>
      <w:pPr>
        <w:spacing w:line="276" w:lineRule="auto" w:after="60"/>
      </w:pPr>
      <w:r>
        <w:rPr>
          <w:rFonts w:ascii="Arial" w:hAnsi="Arial"/>
          <w:sz w:val="20"/>
        </w:rPr>
        <w:t>7. Conclusiones y Recomendaciones de Mejora Continua ................................................. 24</w:t>
      </w:r>
    </w:p>
    <w:p>
      <w:r>
        <w:br w:type="page"/>
      </w:r>
    </w:p>
    <w:p>
      <w:pPr>
        <w:keepNext/>
        <w:spacing w:line="360" w:lineRule="auto" w:before="320" w:after="160"/>
      </w:pPr>
      <w:r>
        <w:rPr>
          <w:rFonts w:ascii="Arial" w:hAnsi="Arial"/>
          <w:b/>
          <w:color w:val="003366"/>
          <w:sz w:val="24"/>
        </w:rPr>
        <w:t>1. Introducción</w:t>
      </w:r>
    </w:p>
    <w:p>
      <w:pPr>
        <w:keepNext/>
        <w:spacing w:line="360" w:lineRule="auto" w:before="240" w:after="120"/>
      </w:pPr>
      <w:r>
        <w:rPr>
          <w:rFonts w:ascii="Arial" w:hAnsi="Arial"/>
          <w:b/>
          <w:color w:val="1F497D"/>
          <w:sz w:val="23"/>
        </w:rPr>
        <w:t>1.1 Contexto del Software y Módulo a Evaluar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El presente informe técnico ha sido elaborado en el marco de la asignatura ISY1102 (Seguridad y Calidad en el Desarrollo de Software) de Duoc UC. El objeto formal de auditoría y prueba es el sistema web multicapa denominado 'Cuidarte+', desarrollado para la entidad de salud CreaLab SpA conforme a su Especificación de Requerimientos de Software (ERS).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Cuidarte+ centraliza la atención y soporte clínico digital a través de una arquitectura basada en un cliente Single Page Application (React v18/v19 con Material UI y Tailwind CSS), una interfaz de programación de aplicaciones RESTful desacoplada (Node.js con framework Express v4.19), persistencia relacional en PostgreSQL v15 y almacenamiento interno segregado para el archivo seguro de documentos de exámenes médicos (formatos PDF, DOC, PPT, JPG y PNG).</w:t>
      </w:r>
    </w:p>
    <w:p>
      <w:pPr>
        <w:keepNext/>
        <w:spacing w:line="360" w:lineRule="auto" w:before="240" w:after="120"/>
      </w:pPr>
      <w:r>
        <w:rPr>
          <w:rFonts w:ascii="Arial" w:hAnsi="Arial"/>
          <w:b/>
          <w:color w:val="1F497D"/>
          <w:sz w:val="23"/>
        </w:rPr>
        <w:t>1.2 Propósito del Plan de Pruebas y Aseguramiento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La digitalización de fichas médicas e historiales diagnósticos exige un rigor analítico exhaustivo, dado que el sistema procesa datos altamente sensibles amparados por normativas sanitarias y de protección de la vida privada. El propósito del presente plan de aseguramiento de calidad (QA) y seguridad de software es: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1. Verificar que el 100% de los requerimientos funcionales (RF-1 a RF-5) y no funcionales (NFR-SEG, NFR-PERF, NFR-USAB, NFR-DIS, NFR-COMPAT) definidos en el ERS se cumplan con exactitud.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2. Ejecutar análisis estático de código fuente (SAST) mediante la plataforma líder de la industria SonarQube LTS Community, identificando deficiencias de calidad (Code Smells), defectos funcionales (Bugs) y brechas de seguridad (Vulnerabilities y Security Hotspots).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3. Garantizar el cumplimiento irrestricto de las leyes chilenas Nº 19.628 (Protección de Datos de Carácter Personal), Nº 20.584 (Derechos y Deberes de las Personas en Salud) y Nº 21.459 (Delitos Informáticos), así como las directrices internacionales del Consorcio OWASP Top 10.</w:t>
      </w:r>
    </w:p>
    <w:p>
      <w:pPr>
        <w:keepNext/>
        <w:spacing w:line="360" w:lineRule="auto" w:before="240" w:after="120"/>
      </w:pPr>
      <w:r>
        <w:rPr>
          <w:rFonts w:ascii="Arial" w:hAnsi="Arial"/>
          <w:b/>
          <w:color w:val="1F497D"/>
          <w:sz w:val="23"/>
        </w:rPr>
        <w:t>1.3 Ajustes Basados en la Evaluación Parcial 1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En base a las observaciones y retroalimentación entregadas por el cuerpo docente en la Evaluación Parcial 1 (EP1), se incorporaron correcciones fundamentales que robustecieron la base del proyecto: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• Se fortaleció la política de contraseñas: Se formalizó el requerimiento de 12 caracteres mínimos combinando obligatoriamente mayúsculas, minúsculas, dígitos y caracteres especiales, aplicando cifrado irreversible con bcrypt (cost factor = 10).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• Segregación estricta de privilegios (RBAC): Se implementaron middlewares que impiden a usuarios de rol 'paciente' consultar fichas médicas de terceros (RB-1) o alterar registros, y se restringió la auditoría exclusivamente al perfil 'admin' (RB-2).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• Validación estricta del algoritmo chileno de RUT (Módulo 11) a nivel de servidor (server-side), asegurando que ninguna entidad pueda crearse con información malformada o no fidedigna.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• Implementación de bajas lógicas auditadas: Todo borrado de exámenes (RF-3.3) o usuarios (RF-2.7) preserva el registro original en base de datos marcando activo = false y emitiendo un evento inmutable en la tabla de auditoría técnica.</w:t>
      </w:r>
    </w:p>
    <w:p>
      <w:pPr>
        <w:keepNext/>
        <w:spacing w:line="360" w:lineRule="auto" w:before="240" w:after="120"/>
      </w:pPr>
      <w:r>
        <w:rPr>
          <w:rFonts w:ascii="Arial" w:hAnsi="Arial"/>
          <w:b/>
          <w:color w:val="1F497D"/>
          <w:sz w:val="23"/>
        </w:rPr>
        <w:t>1.4 Estructura del Informe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El informe se estructura de forma progresiva comenzando por la definición de criterios de calidad (Capítulo 2); el desglose de la estrategia, tipos de prueba y herramientas utilizadas (Capítulo 3); la matriz completa y fichas detalladas de diseño de casos de prueba (Capítulo 4); los resultados de la ejecución real de pruebas dinámicas y estáticas mediante SonarQube (Capítulo 5); finalizando con un análisis ético y normativo de las responsabilidades profesionales involucradas (Capítulo 6).</w:t>
      </w:r>
    </w:p>
    <w:p>
      <w:pPr>
        <w:keepNext/>
        <w:spacing w:line="360" w:lineRule="auto" w:before="320" w:after="160"/>
      </w:pPr>
      <w:r>
        <w:rPr>
          <w:rFonts w:ascii="Arial" w:hAnsi="Arial"/>
          <w:b/>
          <w:color w:val="003366"/>
          <w:sz w:val="24"/>
        </w:rPr>
        <w:t>2. Criterios de Calidad, Seguridad y Cumplimiento Normativo</w:t>
      </w:r>
    </w:p>
    <w:p>
      <w:pPr>
        <w:keepNext/>
        <w:spacing w:line="360" w:lineRule="auto" w:before="240" w:after="120"/>
      </w:pPr>
      <w:r>
        <w:rPr>
          <w:rFonts w:ascii="Arial" w:hAnsi="Arial"/>
          <w:b/>
          <w:color w:val="1F497D"/>
          <w:sz w:val="23"/>
        </w:rPr>
        <w:t>2.1 Calidad del Software bajo Estándar ISO/IEC 25010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El aseguramiento de calidad de Cuidarte+ se fundamenta en las características del modelo de calidad de producto ISO/IEC 25010: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• Usabilidad y Accesibilidad (NFR-USAB): La interfaz SPA fue diseñada prestando especial cuidado a personas adultas mayores y usuarios de centros de salud. Dispone de tamaños tipográficos mínimos configurables (A-, A, A+ desde 14px hasta 20px), modo de Alto Contraste para debilidad visual, controles táctiles y botones de dimensiones generosas (&gt;48px) y navegación escalonada (NFR-USAB-4: primero selección del paciente y luego acceso a sus exámenes).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• Eficiencia de Desempeño (NFR-PERF): Operaciones CRUD simples deben completarse en tiempos inferiores a 300 ms bajo carga normal (NFR-PERF-1); la interfaz carga en menos de 2 segundos en redes móviles; y el backend soporta al menos 200 usuarios concurrentes sin degradación de servicio.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• Confiabilidad y Disponibilidad (NFR-DIS): Disponibilidad contractual objetivo del 99.5% mensual, persistencia transaccional ACID garantizada por PostgreSQL y tolerancia a fallas en lectura de documentos.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• Mantenibilidad: Código fuente modularizado bajo el principio de responsabilidad única, sin duplicación de bloques lógicos (0.0% reportado en SonarQube) y cobertura de pruebas unitarias superior al 70%.</w:t>
      </w:r>
    </w:p>
    <w:p>
      <w:pPr>
        <w:keepNext/>
        <w:spacing w:line="360" w:lineRule="auto" w:before="240" w:after="120"/>
      </w:pPr>
      <w:r>
        <w:rPr>
          <w:rFonts w:ascii="Arial" w:hAnsi="Arial"/>
          <w:b/>
          <w:color w:val="1F497D"/>
          <w:sz w:val="23"/>
        </w:rPr>
        <w:t>2.2 Seguridad de la Información (Confidencialidad, Integridad y Disponibilidad)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La seguridad del sistema sigue las directrices del Defense-in-Depth y OWASP Top 10: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• Autenticación Segura y Gestión de Sesión (RF-1, NFR-SEG-9): Autenticación basada en JSON Web Tokens (JWT) firmados con secreto criptográfico, vigencia reducida (15 minutos) y soporte de revocación inmediata en logout (RF-1.2) mediante lista de tokens invalidados en base de datos.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• Control de Acceso Basado en Roles (RBAC - NFR-SEG-4): Middlewares dedicados en Express que interceptan cada endpoint REST antes de la ejecución del controlador, garantizando que un paciente no acceda a auditorías, que un médico solo opere sobre el espectro clínico autorizado y que el admin mantenga el gobierno del sistema.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• Protección contra Inyección SQL y XSS (NFR-SEG-5): Todas las sentencias hacia la base de datos se ejecutan de forma parametrizada ($1, $2...) eliminando vectores SQLi. Los inputs de texto son saneados para neutralizar scripts maliciosos (XSS), complementado con el middleware Helmet para cabeceras HTTP defensivas (CSP, X-Content-Type-Options, HSTS).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• Gestión de Auditoría Inmutable (RF-5.1, NFR-SEG-6): Cada evento crítico (logins, modificaciones de roles, creación de fichas, subida/descarga de archivos) se asienta en la tabla auditoria con usuario, rol, IP, detalle y marca temporal inalterable.</w:t>
      </w:r>
    </w:p>
    <w:p>
      <w:pPr>
        <w:keepNext/>
        <w:spacing w:line="360" w:lineRule="auto" w:before="240" w:after="120"/>
      </w:pPr>
      <w:r>
        <w:rPr>
          <w:rFonts w:ascii="Arial" w:hAnsi="Arial"/>
          <w:b/>
          <w:color w:val="1F497D"/>
          <w:sz w:val="23"/>
        </w:rPr>
        <w:t>2.3 Cumplimiento Normativo y Marco Regulatorio Chileno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El desarrollo de software en el sector salud en Chile está supeditado a exigencias legales ineludibles: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• Ley Nº 19.628 sobre Protección de la Vida Privada: Establece que los datos relativos a la salud humana revisten el carácter de 'datos sensibles'. Solo pueden ser tratados con consentimiento expreso del titular o para finalidades de atención médica directa. Cuidarte+ cumple esta ley al impedir la fuga o exposición indebida de exámenes médicos y restringir el rol paciente a sus datos propios.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• Ley Nº 20.584 sobre Derechos y Deberes de las Personas en Salud: Consagra el derecho de toda persona a que su ficha clínica sea reservada y confidencial, pero garantiza a su vez el derecho del paciente a recibir copia integra de sus exámenes médicos y antecedentes diagnósticos. El requerimiento RF-4.2 (descarga de documentos de exámenes por el paciente) da cumplimiento exacto a esta garantía legal.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• Ley Nº 21.459 sobre Delitos Informáticos: Sanciona penalmente el acceso ilícito a sistemas informáticos, la interceptación indebida de datos y la falsificación de información. El mecanismo de auditoría técnica y control perimetral implementado permite la detección temprana de intentos de intrusión y la trazabilidad probatoria ante incidentes.</w:t>
      </w:r>
    </w:p>
    <w:p>
      <w:r>
        <w:br w:type="page"/>
      </w:r>
    </w:p>
    <w:p>
      <w:pPr>
        <w:keepNext/>
        <w:spacing w:line="360" w:lineRule="auto" w:before="320" w:after="160"/>
      </w:pPr>
      <w:r>
        <w:rPr>
          <w:rFonts w:ascii="Arial" w:hAnsi="Arial"/>
          <w:b/>
          <w:color w:val="003366"/>
          <w:sz w:val="24"/>
        </w:rPr>
        <w:t>3. Plan de Pruebas de Software</w:t>
      </w:r>
    </w:p>
    <w:p>
      <w:pPr>
        <w:keepNext/>
        <w:spacing w:line="360" w:lineRule="auto" w:before="240" w:after="120"/>
      </w:pPr>
      <w:r>
        <w:rPr>
          <w:rFonts w:ascii="Arial" w:hAnsi="Arial"/>
          <w:b/>
          <w:color w:val="1F497D"/>
          <w:sz w:val="23"/>
        </w:rPr>
        <w:t>3.1 Estrategia de Pruebas y Metodología Mixta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Se adoptó una estrategia de pruebas mixta (estática, dinámica y manual) integrada en el ciclo de vida del software (DevSecOps):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• Fase 1 - Análisis Estático de Seguridad y Calidad (SAST): Ejecución automatizada de SonarScanner conectado al servidor SonarQube para analizar patrones de código, complejidad ciclomática, duplicación, brechas OWASP y hotspots criptográficos.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• Fase 2 - Pruebas Dinámicas Automatizadas (Unitarias y de Integración): Batería automatizada desarrollada con el framework Jest y Supertest, simulando peticiones HTTP reales contra la API REST, verificando códigos de respuesta (200, 201, 400, 401, 403, 404, 409), autenticación JWT y persistencia.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• Fase 3 - Pruebas de Seguridad y Resiliencia: Inyección intencional de cargas maliciosas (SQL Injection ' OR '1'='1', scripts XSS &lt;script&gt;, contraseñas débiles) para comprobar la robustez de los filtros y validadores.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• Fase 4 - Pruebas de Usabilidad y Aceptación Funcional: Verificación manual de flujos clínicos (creación de paciente -&gt; ingreso de examen -&gt; carga de archivo -&gt; descarga -&gt; eliminación lógica) y verificación de accesibilidad con perfiles de adulto mayor.</w:t>
      </w:r>
    </w:p>
    <w:p>
      <w:pPr>
        <w:keepNext/>
        <w:spacing w:line="360" w:lineRule="auto" w:before="240" w:after="120"/>
      </w:pPr>
      <w:r>
        <w:rPr>
          <w:rFonts w:ascii="Arial" w:hAnsi="Arial"/>
          <w:b/>
          <w:color w:val="1F497D"/>
          <w:sz w:val="23"/>
        </w:rPr>
        <w:t>3.2 Clasificación de Tipos de Prueba y Justificación Técnica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Se definieron cinco categorías principales de prueba para asegurar una cobertura técnica holística: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Tipo de Prueba</w:t>
            </w:r>
          </w:p>
        </w:tc>
        <w:tc>
          <w:tcPr>
            <w:tcW w:type="dxa" w:w="3600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Propósito y Justificación Técnica</w:t>
            </w:r>
          </w:p>
        </w:tc>
        <w:tc>
          <w:tcPr>
            <w:tcW w:type="dxa" w:w="1872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1728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Prioridad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9"/>
              </w:rPr>
              <w:t>Pruebas Funcionales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Validar que cada función de negocio (login, registro de paciente, carga de exámenes, descarga de documentos) opere acorde a las especificaciones del ERS.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API REST / Jest, Supertest y UI React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Crítica (100% de los RF cubiertos)</w:t>
            </w:r>
          </w:p>
        </w:tc>
      </w:tr>
      <w:tr>
        <w:tc>
          <w:tcPr>
            <w:tcW w:type="dxa" w:w="2160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9"/>
              </w:rPr>
              <w:t>Pruebas de Seguridad (SAST y DAST)</w:t>
            </w:r>
          </w:p>
        </w:tc>
        <w:tc>
          <w:tcPr>
            <w:tcW w:type="dxa" w:w="3600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Detectar vulnerabilidades de inyección, escalamiento de privilegios, fuga de datos sensibles y debilidades criptográficas.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SonarQube Community 9.9 LTS y Supertest</w:t>
            </w:r>
          </w:p>
        </w:tc>
        <w:tc>
          <w:tcPr>
            <w:tcW w:type="dxa" w:w="1728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Crítica (Bloqueante para producción)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9"/>
              </w:rPr>
              <w:t>Pruebas de Usabilidad y Accesibilidad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Asegurar que personas de la tercera edad o con visión disminuida puedan operar el sistema sin confusión ni bloqueos cognitivos.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Revisión heurística, navegación por teclado y contraste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Alta (Mandatoria en sector salud)</w:t>
            </w:r>
          </w:p>
        </w:tc>
      </w:tr>
      <w:tr>
        <w:tc>
          <w:tcPr>
            <w:tcW w:type="dxa" w:w="2160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9"/>
              </w:rPr>
              <w:t>Pruebas de Rendimiento y Carga</w:t>
            </w:r>
          </w:p>
        </w:tc>
        <w:tc>
          <w:tcPr>
            <w:tcW w:type="dxa" w:w="3600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Verificar que las transacciones críticas respondan en &lt; 300 ms y la descarga de exámenes se complete en menos de 10 segundos.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Supertest benchmark / Postman Runner</w:t>
            </w:r>
          </w:p>
        </w:tc>
        <w:tc>
          <w:tcPr>
            <w:tcW w:type="dxa" w:w="1728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Media-Alta (NFR-PERF-1 y RF-4.4)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9"/>
              </w:rPr>
              <w:t>Pruebas de Integración y Regresión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Comprobar que la interacción entre controladores Express, middlewares, almacenamiento interno y base de datos sea íntegra.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Jest test suite automatizado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Alta (Previene regresiones)</w:t>
            </w:r>
          </w:p>
        </w:tc>
      </w:tr>
    </w:tbl>
    <w:p>
      <w:pPr>
        <w:keepNext/>
        <w:spacing w:line="360" w:lineRule="auto" w:before="240" w:after="120"/>
      </w:pPr>
      <w:r>
        <w:rPr>
          <w:rFonts w:ascii="Arial" w:hAnsi="Arial"/>
          <w:b/>
          <w:color w:val="1F497D"/>
          <w:sz w:val="23"/>
        </w:rPr>
        <w:t>3.3 Criterios de Aceptación Transversales y Reglas de Negocio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Para declarar un ciclo de pruebas como aprobado se establecieron criterios transversales de aceptación: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• Criterio Transversal 1 (Funcional): 100% de casos de prueba aprobados sin discrepancias funcionales frente al ERS.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• Criterio Transversal 2 (Seguridad SAST): Quality Gate de SonarQube en estado 'OK' (Passed), 0 Vulnerabilidades críticas y 0 Bugs bloqueantes.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• Criterio Transversal 3 (Regla RB-1): El rol paciente únicamente puede consultar y descargar sus propios exámenes médicos.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• Criterio Transversal 4 (Regla RB-2): El rol administrador posee control de usuarios y acceso a bitácora de auditoría inmutable.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• Criterio Transversal 5 (Regla RB-3): El médico puede visualizar la información clínica de cualquier paciente pero no alterar usuarios ni ver auditoría administrativa.</w:t>
      </w:r>
    </w:p>
    <w:p>
      <w:pPr>
        <w:keepNext/>
        <w:spacing w:line="360" w:lineRule="auto" w:before="240" w:after="120"/>
      </w:pPr>
      <w:r>
        <w:rPr>
          <w:rFonts w:ascii="Arial" w:hAnsi="Arial"/>
          <w:b/>
          <w:color w:val="1F497D"/>
          <w:sz w:val="23"/>
        </w:rPr>
        <w:t>3.4 Herramientas Tecnológicas y Recursos Requeridos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La ejecución del aseguramiento de calidad demandó los siguientes recursos: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• Servidor de Análisis Estático: SonarQube LTS Community v9.9.8 containerizado en Docker sobre arquitectura Linux x86_64.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• Cliente de Escaneo: SonarScanner CLI v5.0.1 integrado con el entorno Node.js.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• Frameworks de Pruebas: Jest v29.7.0 y Supertest v6.3.4 para pruebas HTTP asíncronas.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• Entorno de Ejecución: Node.js v24.15 LTS, Express v4.19.2, PostgreSQL v15.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• Documentación de API: Swagger UI v5.0.0 y especificación OpenAPI 3.0.</w:t>
      </w:r>
    </w:p>
    <w:p>
      <w:r>
        <w:br w:type="page"/>
      </w:r>
    </w:p>
    <w:p>
      <w:pPr>
        <w:keepNext/>
        <w:spacing w:line="360" w:lineRule="auto" w:before="320" w:after="160"/>
      </w:pPr>
      <w:r>
        <w:rPr>
          <w:rFonts w:ascii="Arial" w:hAnsi="Arial"/>
          <w:b/>
          <w:color w:val="003366"/>
          <w:sz w:val="24"/>
        </w:rPr>
        <w:t>4. Diseño de Casos de Prueba</w:t>
      </w:r>
    </w:p>
    <w:p>
      <w:pPr>
        <w:keepNext/>
        <w:spacing w:line="360" w:lineRule="auto" w:before="240" w:after="120"/>
      </w:pPr>
      <w:r>
        <w:rPr>
          <w:rFonts w:ascii="Arial" w:hAnsi="Arial"/>
          <w:b/>
          <w:color w:val="1F497D"/>
          <w:sz w:val="23"/>
        </w:rPr>
        <w:t>4.1 Matriz de Trazabilidad y Cobertura del 100% de Requerimientos ERS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A continuación se presenta la matriz de cobertura total que vincula cada requerimiento funcional y no funcional del ERS con su respectivo caso de prueba: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Requerimiento</w:t>
            </w:r>
          </w:p>
        </w:tc>
        <w:tc>
          <w:tcPr>
            <w:tcW w:type="dxa" w:w="3888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Descripción de Requisito ERS</w:t>
            </w:r>
          </w:p>
        </w:tc>
        <w:tc>
          <w:tcPr>
            <w:tcW w:type="dxa" w:w="1872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Tipo de Prueba</w:t>
            </w:r>
          </w:p>
        </w:tc>
        <w:tc>
          <w:tcPr>
            <w:tcW w:type="dxa" w:w="1440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Evidencia / Instrumento</w:t>
            </w:r>
          </w:p>
        </w:tc>
        <w:tc>
          <w:tcPr>
            <w:tcW w:type="dxa" w:w="1152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9"/>
              </w:rPr>
              <w:t>RF-1.1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Autenticación de usuario con nombre y contraseña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Funcional / Seguridad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CP-01, Test Automatizado Jest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Aprobado</w:t>
            </w:r>
          </w:p>
        </w:tc>
      </w:tr>
      <w:tr>
        <w:tc>
          <w:tcPr>
            <w:tcW w:type="dxa" w:w="1440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9"/>
              </w:rPr>
              <w:t>RF-1.2</w:t>
            </w:r>
          </w:p>
        </w:tc>
        <w:tc>
          <w:tcPr>
            <w:tcW w:type="dxa" w:w="3888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Cierre de sesión e invalidación/revocación de tokens JWT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Seguridad</w:t>
            </w:r>
          </w:p>
        </w:tc>
        <w:tc>
          <w:tcPr>
            <w:tcW w:type="dxa" w:w="1440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CP-01, Test Automatizado Jest</w:t>
            </w:r>
          </w:p>
        </w:tc>
        <w:tc>
          <w:tcPr>
            <w:tcW w:type="dxa" w:w="115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Aprobado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9"/>
              </w:rPr>
              <w:t>RF-2.1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Registro rápido de usuario con rol paciente por defecto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Funcional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Test Automatizado Jest (auth.test.js)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Aprobado</w:t>
            </w:r>
          </w:p>
        </w:tc>
      </w:tr>
      <w:tr>
        <w:tc>
          <w:tcPr>
            <w:tcW w:type="dxa" w:w="1440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9"/>
              </w:rPr>
              <w:t>RF-2.2</w:t>
            </w:r>
          </w:p>
        </w:tc>
        <w:tc>
          <w:tcPr>
            <w:tcW w:type="dxa" w:w="3888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Médico o administrador registra paciente para exámenes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Funcional</w:t>
            </w:r>
          </w:p>
        </w:tc>
        <w:tc>
          <w:tcPr>
            <w:tcW w:type="dxa" w:w="1440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CP-02, Test Automatizado Jest</w:t>
            </w:r>
          </w:p>
        </w:tc>
        <w:tc>
          <w:tcPr>
            <w:tcW w:type="dxa" w:w="115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Aprobado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9"/>
              </w:rPr>
              <w:t>RF-2.3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Médico o administrador edita datos del paciente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Funcional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Test Automatizado Jest (patient.test.js)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Aprobado</w:t>
            </w:r>
          </w:p>
        </w:tc>
      </w:tr>
      <w:tr>
        <w:tc>
          <w:tcPr>
            <w:tcW w:type="dxa" w:w="1440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9"/>
              </w:rPr>
              <w:t>RF-2.4</w:t>
            </w:r>
          </w:p>
        </w:tc>
        <w:tc>
          <w:tcPr>
            <w:tcW w:type="dxa" w:w="3888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Médico o admin visualiza registro del paciente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Funcional</w:t>
            </w:r>
          </w:p>
        </w:tc>
        <w:tc>
          <w:tcPr>
            <w:tcW w:type="dxa" w:w="1440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Test Automatizado Jest (patient.test.js)</w:t>
            </w:r>
          </w:p>
        </w:tc>
        <w:tc>
          <w:tcPr>
            <w:tcW w:type="dxa" w:w="115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Aprobado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9"/>
              </w:rPr>
              <w:t>RF-2.5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Administrador visualiza lista de usuarios de la plataforma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Funcional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Test Automatizado Jest (user.test.js)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Aprobado</w:t>
            </w:r>
          </w:p>
        </w:tc>
      </w:tr>
      <w:tr>
        <w:tc>
          <w:tcPr>
            <w:tcW w:type="dxa" w:w="1440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9"/>
              </w:rPr>
              <w:t>RF-2.6</w:t>
            </w:r>
          </w:p>
        </w:tc>
        <w:tc>
          <w:tcPr>
            <w:tcW w:type="dxa" w:w="3888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Administrador edita usuario y asigna roles diferenciados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Funcional / Seguridad</w:t>
            </w:r>
          </w:p>
        </w:tc>
        <w:tc>
          <w:tcPr>
            <w:tcW w:type="dxa" w:w="1440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Test Automatizado Jest (user.test.js)</w:t>
            </w:r>
          </w:p>
        </w:tc>
        <w:tc>
          <w:tcPr>
            <w:tcW w:type="dxa" w:w="115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Aprobado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9"/>
              </w:rPr>
              <w:t>RF-2.7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Administrador elimina usuario de la plataforma (baja lógica)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Funcional / Auditoría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Test Automatizado Jest (user.test.js)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Aprobado</w:t>
            </w:r>
          </w:p>
        </w:tc>
      </w:tr>
      <w:tr>
        <w:tc>
          <w:tcPr>
            <w:tcW w:type="dxa" w:w="1440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9"/>
              </w:rPr>
              <w:t>RF-3.1</w:t>
            </w:r>
          </w:p>
        </w:tc>
        <w:tc>
          <w:tcPr>
            <w:tcW w:type="dxa" w:w="3888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Médico registra nuevo examen médico a paciente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Funcional</w:t>
            </w:r>
          </w:p>
        </w:tc>
        <w:tc>
          <w:tcPr>
            <w:tcW w:type="dxa" w:w="1440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Test Automatizado Jest (exam.test.js)</w:t>
            </w:r>
          </w:p>
        </w:tc>
        <w:tc>
          <w:tcPr>
            <w:tcW w:type="dxa" w:w="115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Aprobado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9"/>
              </w:rPr>
              <w:t>RF-3.2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Médico edita datos del examen y actualiza documentos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Funcional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Test Automatizado Jest (exam.test.js)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Aprobado</w:t>
            </w:r>
          </w:p>
        </w:tc>
      </w:tr>
      <w:tr>
        <w:tc>
          <w:tcPr>
            <w:tcW w:type="dxa" w:w="1440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9"/>
              </w:rPr>
              <w:t>RF-3.3</w:t>
            </w:r>
          </w:p>
        </w:tc>
        <w:tc>
          <w:tcPr>
            <w:tcW w:type="dxa" w:w="3888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Eliminación lógica de examen médico con confirmación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Funcional / Integridad</w:t>
            </w:r>
          </w:p>
        </w:tc>
        <w:tc>
          <w:tcPr>
            <w:tcW w:type="dxa" w:w="1440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CP-03, Test Automatizado Jest</w:t>
            </w:r>
          </w:p>
        </w:tc>
        <w:tc>
          <w:tcPr>
            <w:tcW w:type="dxa" w:w="115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Aprobado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9"/>
              </w:rPr>
              <w:t>RF-4.1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Paciente visualiza sus exámenes médicos (acceso escalonado)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Funcional / Usabilidad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Test Automatizado Jest (exam.test.js)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Aprobado</w:t>
            </w:r>
          </w:p>
        </w:tc>
      </w:tr>
      <w:tr>
        <w:tc>
          <w:tcPr>
            <w:tcW w:type="dxa" w:w="1440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9"/>
              </w:rPr>
              <w:t>RF-4.2</w:t>
            </w:r>
          </w:p>
        </w:tc>
        <w:tc>
          <w:tcPr>
            <w:tcW w:type="dxa" w:w="3888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Paciente descarga documentos de sus exámenes médicos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Funcional / Seguridad</w:t>
            </w:r>
          </w:p>
        </w:tc>
        <w:tc>
          <w:tcPr>
            <w:tcW w:type="dxa" w:w="1440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CP-05, Test Automatizado Jest</w:t>
            </w:r>
          </w:p>
        </w:tc>
        <w:tc>
          <w:tcPr>
            <w:tcW w:type="dxa" w:w="115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Aprobado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9"/>
              </w:rPr>
              <w:t>RF-4.3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Médico adjunta documento clínico (PDF, DOC, PPT, JPG, PNG)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Funcional / Storage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CP-05, Middleware Upload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Aprobado</w:t>
            </w:r>
          </w:p>
        </w:tc>
      </w:tr>
      <w:tr>
        <w:tc>
          <w:tcPr>
            <w:tcW w:type="dxa" w:w="1440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9"/>
              </w:rPr>
              <w:t>RF-4.4</w:t>
            </w:r>
          </w:p>
        </w:tc>
        <w:tc>
          <w:tcPr>
            <w:tcW w:type="dxa" w:w="3888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Documentos en storage interno referenciados en BD (&lt; 10s)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Rendimiento / Storage</w:t>
            </w:r>
          </w:p>
        </w:tc>
        <w:tc>
          <w:tcPr>
            <w:tcW w:type="dxa" w:w="1440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CP-05, Benchmark I/O</w:t>
            </w:r>
          </w:p>
        </w:tc>
        <w:tc>
          <w:tcPr>
            <w:tcW w:type="dxa" w:w="115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Aprobado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9"/>
              </w:rPr>
              <w:t>RF-5.1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Registrar en auditoría acciones críticas (usuarios, fichas, docs)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Auditoría / Cumplimiento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CP-04, Test Automatizado Jest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Aprobado</w:t>
            </w:r>
          </w:p>
        </w:tc>
      </w:tr>
      <w:tr>
        <w:tc>
          <w:tcPr>
            <w:tcW w:type="dxa" w:w="1440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9"/>
              </w:rPr>
              <w:t>NFR-SEG-2</w:t>
            </w:r>
          </w:p>
        </w:tc>
        <w:tc>
          <w:tcPr>
            <w:tcW w:type="dxa" w:w="3888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Contraseñas con hashing seguro bcrypt y política de 12 chars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Seguridad</w:t>
            </w:r>
          </w:p>
        </w:tc>
        <w:tc>
          <w:tcPr>
            <w:tcW w:type="dxa" w:w="1440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CP-01, Validador Regex</w:t>
            </w:r>
          </w:p>
        </w:tc>
        <w:tc>
          <w:tcPr>
            <w:tcW w:type="dxa" w:w="115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Aprobado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9"/>
              </w:rPr>
              <w:t>NFR-SEG-4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Control de acceso basado en roles (RBAC) en backend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Seguridad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CP-04, Middleware RBAC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Aprobado</w:t>
            </w:r>
          </w:p>
        </w:tc>
      </w:tr>
      <w:tr>
        <w:tc>
          <w:tcPr>
            <w:tcW w:type="dxa" w:w="1440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9"/>
              </w:rPr>
              <w:t>NFR-SEG-5</w:t>
            </w:r>
          </w:p>
        </w:tc>
        <w:tc>
          <w:tcPr>
            <w:tcW w:type="dxa" w:w="3888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Protección contra CSRF, XSS y SQL Injection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Seguridad</w:t>
            </w:r>
          </w:p>
        </w:tc>
        <w:tc>
          <w:tcPr>
            <w:tcW w:type="dxa" w:w="1440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Test Automatizado Jest (security.test.js)</w:t>
            </w:r>
          </w:p>
        </w:tc>
        <w:tc>
          <w:tcPr>
            <w:tcW w:type="dxa" w:w="115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Aprobado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9"/>
              </w:rPr>
              <w:t>NFR-PERF-1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Tiempo de respuesta CRUD simple &lt; 300 ms bajo carga normal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Rendimiento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Test Automatizado Jest (healthcheck)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Aprobado</w:t>
            </w:r>
          </w:p>
        </w:tc>
      </w:tr>
      <w:tr>
        <w:tc>
          <w:tcPr>
            <w:tcW w:type="dxa" w:w="1440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9"/>
              </w:rPr>
              <w:t>NFR-USAB-1</w:t>
            </w:r>
          </w:p>
        </w:tc>
        <w:tc>
          <w:tcPr>
            <w:tcW w:type="dxa" w:w="3888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Interfaz legible, alto contraste y botones grandes para mayores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Usabilidad / Accesibilidad</w:t>
            </w:r>
          </w:p>
        </w:tc>
        <w:tc>
          <w:tcPr>
            <w:tcW w:type="dxa" w:w="1440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Inspección UI React y Heurística</w:t>
            </w:r>
          </w:p>
        </w:tc>
        <w:tc>
          <w:tcPr>
            <w:tcW w:type="dxa" w:w="115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Aprobado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9"/>
              </w:rPr>
              <w:t>NFR-USAB-4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Flujo escalonado: primero paciente y luego sus exámenes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Usabilidad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Inspección UI React (App.jsx)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Aprobado</w:t>
            </w:r>
          </w:p>
        </w:tc>
      </w:tr>
    </w:tbl>
    <w:p>
      <w:pPr>
        <w:keepNext/>
        <w:spacing w:line="360" w:lineRule="auto" w:before="240" w:after="120"/>
      </w:pPr>
      <w:r>
        <w:rPr>
          <w:rFonts w:ascii="Arial" w:hAnsi="Arial"/>
          <w:b/>
          <w:color w:val="1F497D"/>
          <w:sz w:val="23"/>
        </w:rPr>
        <w:t>4.2 Fichas Detalladas de Casos de Prueba Representativos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A continuación se desglosan en detalle 5 casos de prueba representativos cubriendo aspectos funcionales, no funcionales, de seguridad, integridad y rendimiento, siguiendo el formato curricular de Duoc UC: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EBF2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ID CASO DE PRUEBA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CP-01 - Autenticación Robusta con JWT y Revocación de Sesión en Logout</w:t>
            </w:r>
          </w:p>
        </w:tc>
      </w:tr>
      <w:tr>
        <w:tc>
          <w:tcPr>
            <w:tcW w:type="dxa" w:w="3168"/>
            <w:shd w:fill="EBF2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REQUERIMIENTO ASOCIADO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RF-1.1, RF-1.2, NFR-SEG-2, NFR-SEG-9 (Tipo: Seguridad / Funcional)</w:t>
            </w:r>
          </w:p>
        </w:tc>
      </w:tr>
      <w:tr>
        <w:tc>
          <w:tcPr>
            <w:tcW w:type="dxa" w:w="3168"/>
            <w:shd w:fill="EBF2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DESCRIPCIÓN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Verificar que el usuario inicie sesión con credenciales válidas recibiendo un token JWT con vigencia de 15 minutos, y que al invocar el endpoint de logout dicho token quede invalidado de forma permanente en base de datos.</w:t>
            </w:r>
          </w:p>
        </w:tc>
      </w:tr>
      <w:tr>
        <w:tc>
          <w:tcPr>
            <w:tcW w:type="dxa" w:w="3168"/>
            <w:shd w:fill="EBF2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PRECONDICIONES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Servidor API Cuidarte+ activo.</w:t>
              <w:br/>
              <w:t>2. Usuario 'dr_perez' existente con password con hashing bcrypt.</w:t>
            </w:r>
          </w:p>
        </w:tc>
      </w:tr>
      <w:tr>
        <w:tc>
          <w:tcPr>
            <w:tcW w:type="dxa" w:w="3168"/>
            <w:shd w:fill="EBF2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PASOS DE EJECUCIÓN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Enviar petición POST a /api/auth/login con credenciales.</w:t>
              <w:br/>
              <w:t>2. Capturar token JWT de la respuesta.</w:t>
              <w:br/>
              <w:t>3. Enviar petición GET a /api/auth/me usando token (debe responder 200 OK).</w:t>
              <w:br/>
              <w:t>4. Enviar petición POST a /api/auth/logout con cabecera Authorization.</w:t>
              <w:br/>
              <w:t>5. Reintentar consumo de /api/auth/me con el token cerrado.</w:t>
            </w:r>
          </w:p>
        </w:tc>
      </w:tr>
      <w:tr>
        <w:tc>
          <w:tcPr>
            <w:tcW w:type="dxa" w:w="3168"/>
            <w:shd w:fill="EBF2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RESULTADO ESPERADO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El paso 1 retorna HTTP 200 con token JWT válido. El paso 4 retorna HTTP 200 confirmando revocación. El paso 5 es denegado con HTTP 401 'Token revocado o sesión cerrada'.</w:t>
            </w:r>
          </w:p>
        </w:tc>
      </w:tr>
      <w:tr>
        <w:tc>
          <w:tcPr>
            <w:tcW w:type="dxa" w:w="3168"/>
            <w:shd w:fill="EBF2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CRITERIO DE ACEPTACIÓN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El sistema genera un JWT firmado con payload jti y rechaza con 401 Unauthorized cualquier intento de reutilizar el token una vez cerrada la sesión.</w:t>
            </w:r>
          </w:p>
        </w:tc>
      </w:tr>
      <w:tr>
        <w:tc>
          <w:tcPr>
            <w:tcW w:type="dxa" w:w="3168"/>
            <w:shd w:fill="EBF2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DATOS DE PRUEBA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Usuario: 'dr_perez', Password: 'Medico123456!#' (Cumple 12 chars, mayúscula, minúscula, número y símbolo).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EBF2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ID CASO DE PRUEBA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CP-02 - Registro de Pacientes con Validación Algorítmica de RUT (Módulo 11)</w:t>
            </w:r>
          </w:p>
        </w:tc>
      </w:tr>
      <w:tr>
        <w:tc>
          <w:tcPr>
            <w:tcW w:type="dxa" w:w="3168"/>
            <w:shd w:fill="EBF2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REQUERIMIENTO ASOCIADO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RF-2.2, NFR-SEG-5, Regla de Negocio (Tipo: Funcional / Calidad de Datos)</w:t>
            </w:r>
          </w:p>
        </w:tc>
      </w:tr>
      <w:tr>
        <w:tc>
          <w:tcPr>
            <w:tcW w:type="dxa" w:w="3168"/>
            <w:shd w:fill="EBF2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DESCRIPCIÓN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Comprobar que un profesional médico o administrador registre un nuevo paciente asegurando que el RUT chileno sea validado matemáticamente antes de persistir en PostgreSQL.</w:t>
            </w:r>
          </w:p>
        </w:tc>
      </w:tr>
      <w:tr>
        <w:tc>
          <w:tcPr>
            <w:tcW w:type="dxa" w:w="3168"/>
            <w:shd w:fill="EBF2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PRECONDICIONES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Médico autenticado con token JWT activo.</w:t>
              <w:br/>
              <w:t>2. RUT a registrar no debe existir previamente en el sistema.</w:t>
            </w:r>
          </w:p>
        </w:tc>
      </w:tr>
      <w:tr>
        <w:tc>
          <w:tcPr>
            <w:tcW w:type="dxa" w:w="3168"/>
            <w:shd w:fill="EBF2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PASOS DE EJECUCIÓN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Realizar petición POST a /api/patients con RUT inválido '11111111-9'.</w:t>
              <w:br/>
              <w:t>2. Verificar rechazo inmediato con HTTP 400.</w:t>
              <w:br/>
              <w:t>3. Realizar petición POST con RUT válido '16234567-2' y datos clínicos completos.</w:t>
              <w:br/>
              <w:t>4. Comprobar código HTTP 201 Created y retorno del ID de paciente.</w:t>
            </w:r>
          </w:p>
        </w:tc>
      </w:tr>
      <w:tr>
        <w:tc>
          <w:tcPr>
            <w:tcW w:type="dxa" w:w="3168"/>
            <w:shd w:fill="EBF2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RESULTADO ESPERADO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El RUT erróneo es rechazado informando 'El formato o dígito verificador del RUT es inválido'. El RUT legítimo es insertado exitosamente con activo = true.</w:t>
            </w:r>
          </w:p>
        </w:tc>
      </w:tr>
      <w:tr>
        <w:tc>
          <w:tcPr>
            <w:tcW w:type="dxa" w:w="3168"/>
            <w:shd w:fill="EBF2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CRITERIO DE ACEPTACIÓN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El validador server-side no permite datos malformados y emite evento en tabla de auditoría con la acción 'CREACION_PACIENTE'.</w:t>
            </w:r>
          </w:p>
        </w:tc>
      </w:tr>
      <w:tr>
        <w:tc>
          <w:tcPr>
            <w:tcW w:type="dxa" w:w="3168"/>
            <w:shd w:fill="EBF2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DATOS DE PRUEBA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RUT Válido: '16234567-2', Nombres: 'Rodrigo Andrés', Apellidos: 'Pavez Lagos', F. Nac: '1975-06-12', Previsión: 'Fonasa C'.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EBF2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ID CASO DE PRUEBA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CP-03 - Eliminación Lógica de Examen Médico con Confirmación Obligatoria</w:t>
            </w:r>
          </w:p>
        </w:tc>
      </w:tr>
      <w:tr>
        <w:tc>
          <w:tcPr>
            <w:tcW w:type="dxa" w:w="3168"/>
            <w:shd w:fill="EBF2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REQUERIMIENTO ASOCIADO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RF-3.3, RB-3, Integridad de Datos (Tipo: Funcional / Integridad)</w:t>
            </w:r>
          </w:p>
        </w:tc>
      </w:tr>
      <w:tr>
        <w:tc>
          <w:tcPr>
            <w:tcW w:type="dxa" w:w="3168"/>
            <w:shd w:fill="EBF2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DESCRIPCIÓN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Verificar que la eliminación de un examen médico no aplique un borrado físico destructivo (DELETE), sino una baja lógica (activo = false) y que requiera confirmación explícita (confirm: true).</w:t>
            </w:r>
          </w:p>
        </w:tc>
      </w:tr>
      <w:tr>
        <w:tc>
          <w:tcPr>
            <w:tcW w:type="dxa" w:w="3168"/>
            <w:shd w:fill="EBF2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PRECONDICIONES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Examen médico existente ID 1 asignado al paciente 1.</w:t>
              <w:br/>
              <w:t>2. Usuario autenticado con rol 'medico' o 'admin'.</w:t>
            </w:r>
          </w:p>
        </w:tc>
      </w:tr>
      <w:tr>
        <w:tc>
          <w:tcPr>
            <w:tcW w:type="dxa" w:w="3168"/>
            <w:shd w:fill="EBF2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PASOS DE EJECUCIÓN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Enviar petición DELETE a /api/exams/1 sin cuerpo de confirmación.</w:t>
              <w:br/>
              <w:t>2. Constatar rechazo con HTTP 400 Bad Request.</w:t>
              <w:br/>
              <w:t>3. Enviar DELETE a /api/exams/1 con JSON { confirm: true }.</w:t>
              <w:br/>
              <w:t>4. Consultar examen en base de datos: comprobar campo activo = false.</w:t>
              <w:br/>
              <w:t>5. Verificar que el examen no se despliegue en listado regular del paciente.</w:t>
            </w:r>
          </w:p>
        </w:tc>
      </w:tr>
      <w:tr>
        <w:tc>
          <w:tcPr>
            <w:tcW w:type="dxa" w:w="3168"/>
            <w:shd w:fill="EBF2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RESULTADO ESPERADO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El sistema impide la eliminación inadvertida y exige confirmación explícita. Se preserva el registro para fines médico-legales y se audita el evento.</w:t>
            </w:r>
          </w:p>
        </w:tc>
      </w:tr>
      <w:tr>
        <w:tc>
          <w:tcPr>
            <w:tcW w:type="dxa" w:w="3168"/>
            <w:shd w:fill="EBF2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CRITERIO DE ACEPTACIÓN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La operación retorna HTTP 200 con mensaje 'Examen médico y sus documentos eliminados lógicamente con éxito'.</w:t>
            </w:r>
          </w:p>
        </w:tc>
      </w:tr>
      <w:tr>
        <w:tc>
          <w:tcPr>
            <w:tcW w:type="dxa" w:w="3168"/>
            <w:shd w:fill="EBF2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DATOS DE PRUEBA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Examen ID: 1, Payload: { "confirm": true }.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EBF2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ID CASO DE PRUEBA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CP-04 - Segregación de Roles (RBAC) y Consulta de Bitácora de Auditoría</w:t>
            </w:r>
          </w:p>
        </w:tc>
      </w:tr>
      <w:tr>
        <w:tc>
          <w:tcPr>
            <w:tcW w:type="dxa" w:w="3168"/>
            <w:shd w:fill="EBF2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REQUERIMIENTO ASOCIADO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RF-5.1, NFR-SEG-4, Reglas RB-1 y RB-2 (Tipo: Seguridad / Cumplimiento Legal)</w:t>
            </w:r>
          </w:p>
        </w:tc>
      </w:tr>
      <w:tr>
        <w:tc>
          <w:tcPr>
            <w:tcW w:type="dxa" w:w="3168"/>
            <w:shd w:fill="EBF2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DESCRIPCIÓN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Verificar que usuarios con rol 'paciente' o 'medico' tengan restringido el acceso al log de auditoría técnica y que solo el 'admin' pueda auditar las acciones del sistema.</w:t>
            </w:r>
          </w:p>
        </w:tc>
      </w:tr>
      <w:tr>
        <w:tc>
          <w:tcPr>
            <w:tcW w:type="dxa" w:w="3168"/>
            <w:shd w:fill="EBF2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PRECONDICIONES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Usuario paciente autenticado (token paciente).</w:t>
              <w:br/>
              <w:t>2. Usuario admin autenticado (token admin).</w:t>
            </w:r>
          </w:p>
        </w:tc>
      </w:tr>
      <w:tr>
        <w:tc>
          <w:tcPr>
            <w:tcW w:type="dxa" w:w="3168"/>
            <w:shd w:fill="EBF2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PASOS DE EJECUCIÓN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Paciente intenta consumir GET /api/audit: comprobar HTTP 403 Forbidden.</w:t>
              <w:br/>
              <w:t>2. Administrador consume GET /api/audit: comprobar HTTP 200 OK con arreglo JSON de logs.</w:t>
              <w:br/>
              <w:t>3. Constatar que figuren las IPs, usuarios, marcas de tiempo y acciones críticas registradas.</w:t>
            </w:r>
          </w:p>
        </w:tc>
      </w:tr>
      <w:tr>
        <w:tc>
          <w:tcPr>
            <w:tcW w:type="dxa" w:w="3168"/>
            <w:shd w:fill="EBF2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RESULTADO ESPERADO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Acceso denegado con código 403 para roles sin privilegios administrativos. Acceso autorizado para admin con despliegue de historial inmutable.</w:t>
            </w:r>
          </w:p>
        </w:tc>
      </w:tr>
      <w:tr>
        <w:tc>
          <w:tcPr>
            <w:tcW w:type="dxa" w:w="3168"/>
            <w:shd w:fill="EBF2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CRITERIO DE ACEPTACIÓN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Cumplimiento estricto de NFR-SEG-4 y Ley 19.628: ninguna persona no autorizada puede supervisar accesos a fichas clínicas.</w:t>
            </w:r>
          </w:p>
        </w:tc>
      </w:tr>
      <w:tr>
        <w:tc>
          <w:tcPr>
            <w:tcW w:type="dxa" w:w="3168"/>
            <w:shd w:fill="EBF2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DATOS DE PRUEBA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Endpoints: GET /api/audit. Headers: Authorization Bearer [Token Paciente] vs [Token Admin].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EBF2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ID CASO DE PRUEBA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CP-05 - Carga y Descarga Segura de Documentos Clínicos en Storage Interno</w:t>
            </w:r>
          </w:p>
        </w:tc>
      </w:tr>
      <w:tr>
        <w:tc>
          <w:tcPr>
            <w:tcW w:type="dxa" w:w="3168"/>
            <w:shd w:fill="EBF2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REQUERIMIENTO ASOCIADO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RF-4.2, RF-4.3, RF-4.4, NFR-PERF-1 (Tipo: Rendimiento / Seguridad de Archivos)</w:t>
            </w:r>
          </w:p>
        </w:tc>
      </w:tr>
      <w:tr>
        <w:tc>
          <w:tcPr>
            <w:tcW w:type="dxa" w:w="3168"/>
            <w:shd w:fill="EBF2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DESCRIPCIÓN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Verificar que un médico adjunte un documento de examen en formato permitido (PDF, DOC, PPT, JPG, PNG) guardado en storage interno referenciado en BD, y que el paciente lo descargue en &lt; 10 segundos.</w:t>
            </w:r>
          </w:p>
        </w:tc>
      </w:tr>
      <w:tr>
        <w:tc>
          <w:tcPr>
            <w:tcW w:type="dxa" w:w="3168"/>
            <w:shd w:fill="EBF2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PRECONDICIONES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Examen médico en curso.</w:t>
              <w:br/>
              <w:t>2. Archivo PDF de informe de laboratorio preparado en equipo local.</w:t>
            </w:r>
          </w:p>
        </w:tc>
      </w:tr>
      <w:tr>
        <w:tc>
          <w:tcPr>
            <w:tcW w:type="dxa" w:w="3168"/>
            <w:shd w:fill="EBF2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PASOS DE EJECUCIÓN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Médico envía petición POST a /api/exams con multipart/form-data adjuntando 'informe.pdf'.</w:t>
              <w:br/>
              <w:t>2. Comprobar que el archivo se almacena en carpeta interna /uploads con nombre único y seguro.</w:t>
              <w:br/>
              <w:t>3. Paciente autenticado envía GET a /api/exams/document/[id]/download.</w:t>
              <w:br/>
              <w:t>4. Medir tiempo transcurrido hasta recibir el stream de descarga.</w:t>
            </w:r>
          </w:p>
        </w:tc>
      </w:tr>
      <w:tr>
        <w:tc>
          <w:tcPr>
            <w:tcW w:type="dxa" w:w="3168"/>
            <w:shd w:fill="EBF2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RESULTADO ESPERADO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El archivo se carga exitosamente, se guarda metadato en documentos_medicos y la descarga se completa en menos de 10 segundos (&lt; 1 segundo en entorno local).</w:t>
            </w:r>
          </w:p>
        </w:tc>
      </w:tr>
      <w:tr>
        <w:tc>
          <w:tcPr>
            <w:tcW w:type="dxa" w:w="3168"/>
            <w:shd w:fill="EBF2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CRITERIO DE ACEPTACIÓN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El paciente puede respaldar su información médica legítima dando cumplimiento a la Ley 20.584.</w:t>
            </w:r>
          </w:p>
        </w:tc>
      </w:tr>
      <w:tr>
        <w:tc>
          <w:tcPr>
            <w:tcW w:type="dxa" w:w="3168"/>
            <w:shd w:fill="EBF2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DATOS DE PRUEBA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Archivo: 'resultado_hemograma.pdf' (145 KB), Endpoint: /api/exams/document/1/download.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keepNext/>
        <w:spacing w:line="360" w:lineRule="auto" w:before="320" w:after="160"/>
      </w:pPr>
      <w:r>
        <w:rPr>
          <w:rFonts w:ascii="Arial" w:hAnsi="Arial"/>
          <w:b/>
          <w:color w:val="003366"/>
          <w:sz w:val="24"/>
        </w:rPr>
        <w:t>5. Ejecución de Pruebas y Resultados de Auditoría Estática (SonarQube)</w:t>
      </w:r>
    </w:p>
    <w:p>
      <w:pPr>
        <w:keepNext/>
        <w:spacing w:line="360" w:lineRule="auto" w:before="240" w:after="120"/>
      </w:pPr>
      <w:r>
        <w:rPr>
          <w:rFonts w:ascii="Arial" w:hAnsi="Arial"/>
          <w:b/>
          <w:color w:val="1F497D"/>
          <w:sz w:val="23"/>
        </w:rPr>
        <w:t>5.1 Resumen Global de Ejecución de Pruebas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El ciclo de aseguramiento de calidad contempló la ejecución de 25 pruebas automatizadas dinámicas mediante Jest y Supertest, así como el análisis estático integral de 1.746 líneas de código fuente (NCLOC) a través de SonarQube LTS Community v9.9.8.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Métrica Evaluada</w:t>
            </w:r>
          </w:p>
        </w:tc>
        <w:tc>
          <w:tcPr>
            <w:tcW w:type="dxa" w:w="1872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Valor Obtenido</w:t>
            </w:r>
          </w:p>
        </w:tc>
        <w:tc>
          <w:tcPr>
            <w:tcW w:type="dxa" w:w="2016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Resultado</w:t>
            </w:r>
          </w:p>
        </w:tc>
        <w:tc>
          <w:tcPr>
            <w:tcW w:type="dxa" w:w="1872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Observación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9"/>
              </w:rPr>
              <w:t>Pruebas Unitarias / Integración (Jest)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25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25 (100%)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0 (0%)</w:t>
            </w:r>
          </w:p>
        </w:tc>
      </w:tr>
      <w:tr>
        <w:tc>
          <w:tcPr>
            <w:tcW w:type="dxa" w:w="3600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9"/>
              </w:rPr>
              <w:t>Casos de Prueba ERS Diseñados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23</w:t>
            </w:r>
          </w:p>
        </w:tc>
        <w:tc>
          <w:tcPr>
            <w:tcW w:type="dxa" w:w="2016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23 (100%)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0 (0%)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9"/>
              </w:rPr>
              <w:t>Quality Gate SonarQube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Aprobado (OK)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Passed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N/A</w:t>
            </w:r>
          </w:p>
        </w:tc>
      </w:tr>
      <w:tr>
        <w:tc>
          <w:tcPr>
            <w:tcW w:type="dxa" w:w="3600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9"/>
              </w:rPr>
              <w:t>Vulnerabilidades Detectadas (SonarQube)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0</w:t>
            </w:r>
          </w:p>
        </w:tc>
        <w:tc>
          <w:tcPr>
            <w:tcW w:type="dxa" w:w="2016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0 (Grado A)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0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9"/>
              </w:rPr>
              <w:t>Bugs Críticos de Código (SonarQube)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0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0 (Grado A)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0</w:t>
            </w:r>
          </w:p>
        </w:tc>
      </w:tr>
      <w:tr>
        <w:tc>
          <w:tcPr>
            <w:tcW w:type="dxa" w:w="3600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9"/>
              </w:rPr>
              <w:t>Líneas Duplicadas (Duplications)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0.0%</w:t>
            </w:r>
          </w:p>
        </w:tc>
        <w:tc>
          <w:tcPr>
            <w:tcW w:type="dxa" w:w="2016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0.0%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Meta &lt; 3% Cumplida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9"/>
              </w:rPr>
              <w:t>Cobertura de Código en Pruebas (Coverage)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70.7%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70.7%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Meta &gt; 70% Cumplida</w:t>
            </w:r>
          </w:p>
        </w:tc>
      </w:tr>
    </w:tbl>
    <w:p>
      <w:pPr>
        <w:keepNext/>
        <w:spacing w:line="360" w:lineRule="auto" w:before="240" w:after="120"/>
      </w:pPr>
      <w:r>
        <w:rPr>
          <w:rFonts w:ascii="Arial" w:hAnsi="Arial"/>
          <w:b/>
          <w:color w:val="1F497D"/>
          <w:sz w:val="23"/>
        </w:rPr>
        <w:t>5.2 Detalle de Ejecución y Evidencias Técnicas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A continuación se detalla el resultado puntual de la ejecución de los 5 casos de prueba representativos estructurados en el Capítulo 4: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Caso</w:t>
            </w:r>
          </w:p>
        </w:tc>
        <w:tc>
          <w:tcPr>
            <w:tcW w:type="dxa" w:w="2880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Descripción de la Prueba</w:t>
            </w:r>
          </w:p>
        </w:tc>
        <w:tc>
          <w:tcPr>
            <w:tcW w:type="dxa" w:w="1440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Resultado</w:t>
            </w:r>
          </w:p>
        </w:tc>
        <w:tc>
          <w:tcPr>
            <w:tcW w:type="dxa" w:w="2448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Evidencia Técnica Obtenida</w:t>
            </w:r>
          </w:p>
        </w:tc>
        <w:tc>
          <w:tcPr>
            <w:tcW w:type="dxa" w:w="1440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9"/>
              </w:rPr>
              <w:t>CP-01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Autenticación JWT y Revocación Logout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APROBADO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HTTP 200 login exitoso; HTTP 401 en reintento con token revocado en BD.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Funcional / Seguridad</w:t>
            </w:r>
          </w:p>
        </w:tc>
      </w:tr>
      <w:tr>
        <w:tc>
          <w:tcPr>
            <w:tcW w:type="dxa" w:w="115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9"/>
              </w:rPr>
              <w:t>CP-02</w:t>
            </w:r>
          </w:p>
        </w:tc>
        <w:tc>
          <w:tcPr>
            <w:tcW w:type="dxa" w:w="2880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Registro Paciente y Validación RUT Módulo 11</w:t>
            </w:r>
          </w:p>
        </w:tc>
        <w:tc>
          <w:tcPr>
            <w:tcW w:type="dxa" w:w="1440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APROBADO</w:t>
            </w:r>
          </w:p>
        </w:tc>
        <w:tc>
          <w:tcPr>
            <w:tcW w:type="dxa" w:w="2448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HTTP 400 rechazó RUT 11111111-9; HTTP 201 aceptó RUT 16234567-2.</w:t>
            </w:r>
          </w:p>
        </w:tc>
        <w:tc>
          <w:tcPr>
            <w:tcW w:type="dxa" w:w="1440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Funcional / Datos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9"/>
              </w:rPr>
              <w:t>CP-03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Eliminación Lógica Examen con Confirmación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APROBADO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HTTP 400 sin confirmación; HTTP 200 con confirmación, activo = false en DB.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Funcional / Integridad</w:t>
            </w:r>
          </w:p>
        </w:tc>
      </w:tr>
      <w:tr>
        <w:tc>
          <w:tcPr>
            <w:tcW w:type="dxa" w:w="115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9"/>
              </w:rPr>
              <w:t>CP-04</w:t>
            </w:r>
          </w:p>
        </w:tc>
        <w:tc>
          <w:tcPr>
            <w:tcW w:type="dxa" w:w="2880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Segregación RBAC y Bitácora de Auditoría</w:t>
            </w:r>
          </w:p>
        </w:tc>
        <w:tc>
          <w:tcPr>
            <w:tcW w:type="dxa" w:w="1440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APROBADO</w:t>
            </w:r>
          </w:p>
        </w:tc>
        <w:tc>
          <w:tcPr>
            <w:tcW w:type="dxa" w:w="2448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HTTP 403 a paciente; HTTP 200 a admin mostrando registros históricos.</w:t>
            </w:r>
          </w:p>
        </w:tc>
        <w:tc>
          <w:tcPr>
            <w:tcW w:type="dxa" w:w="1440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Seguridad / RBAC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9"/>
              </w:rPr>
              <w:t>CP-05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Carga/Descarga Archivos Storage Interno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APROBADO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Descarga completada en &lt; 300 ms (umbral &lt; 10s cumplido con holgura).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Rendimiento / I/O</w:t>
            </w:r>
          </w:p>
        </w:tc>
      </w:tr>
    </w:tbl>
    <w:p>
      <w:pPr>
        <w:keepNext/>
        <w:spacing w:line="360" w:lineRule="auto" w:before="240" w:after="120"/>
      </w:pPr>
      <w:r>
        <w:rPr>
          <w:rFonts w:ascii="Arial" w:hAnsi="Arial"/>
          <w:b/>
          <w:color w:val="1F497D"/>
          <w:sz w:val="23"/>
        </w:rPr>
        <w:t>5.3 Escala y Análisis de Criticidad de Incidentes (SonarQube)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Para categorizar los hallazgos técnicos se adoptó la escala estándar de severidad requerida en la pauta de evaluación de Duoc UC: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Nivel</w:t>
            </w:r>
          </w:p>
        </w:tc>
        <w:tc>
          <w:tcPr>
            <w:tcW w:type="dxa" w:w="3312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Descripción del Defecto</w:t>
            </w:r>
          </w:p>
        </w:tc>
        <w:tc>
          <w:tcPr>
            <w:tcW w:type="dxa" w:w="2160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Impacto en Negocio</w:t>
            </w:r>
          </w:p>
        </w:tc>
        <w:tc>
          <w:tcPr>
            <w:tcW w:type="dxa" w:w="2304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Acción Requerida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9"/>
              </w:rPr>
              <w:t>CRÍTICO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El defecto impide completamente el funcionamiento del sistema o flujo principal. Compromete gravemente la confidencialidad de datos de salud.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Muy Alto. Bloquea la operación.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Remediación Inmediata obligatoria.</w:t>
            </w:r>
          </w:p>
        </w:tc>
      </w:tr>
      <w:tr>
        <w:tc>
          <w:tcPr>
            <w:tcW w:type="dxa" w:w="1584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9"/>
              </w:rPr>
              <w:t>GRAVE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Afecta funcionalidades principales o directrices de seguridad pero existe una solución de contingencia (workaround).</w:t>
            </w:r>
          </w:p>
        </w:tc>
        <w:tc>
          <w:tcPr>
            <w:tcW w:type="dxa" w:w="2160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Alto. Compromete la robustez.</w:t>
            </w:r>
          </w:p>
        </w:tc>
        <w:tc>
          <w:tcPr>
            <w:tcW w:type="dxa" w:w="2304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Corregir en ciclo actual de desarrollo.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9"/>
              </w:rPr>
              <w:t>MODERADO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Afecta funcionalidades secundarias o incrementa la deuda técnica (Code Smells, complejidad).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Medio. Molestias de mantenimiento.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Corregir en siguiente iteración de sprint.</w:t>
            </w:r>
          </w:p>
        </w:tc>
      </w:tr>
      <w:tr>
        <w:tc>
          <w:tcPr>
            <w:tcW w:type="dxa" w:w="1584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9"/>
              </w:rPr>
              <w:t>LEVE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Defectos de estética, nomenclatura o inconsistencias menores de código sin impacto operativo.</w:t>
            </w:r>
          </w:p>
        </w:tc>
        <w:tc>
          <w:tcPr>
            <w:tcW w:type="dxa" w:w="2160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Bajo. Sin impacto funcional.</w:t>
            </w:r>
          </w:p>
        </w:tc>
        <w:tc>
          <w:tcPr>
            <w:tcW w:type="dxa" w:w="2304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Se corrige según disponibilidad.</w:t>
            </w:r>
          </w:p>
        </w:tc>
      </w:tr>
    </w:tbl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Durante el escaneo estático con SonarQube 9.9 LTS se detectaron 5 Code Smells y 3 Security Hotspots. A continuación se desglosan con su análisis de impacto y plan de remediación técnica: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ID Hallazgo</w:t>
            </w:r>
          </w:p>
        </w:tc>
        <w:tc>
          <w:tcPr>
            <w:tcW w:type="dxa" w:w="2160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Regla SonarQube</w:t>
            </w:r>
          </w:p>
        </w:tc>
        <w:tc>
          <w:tcPr>
            <w:tcW w:type="dxa" w:w="1296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Criticidad</w:t>
            </w:r>
          </w:p>
        </w:tc>
        <w:tc>
          <w:tcPr>
            <w:tcW w:type="dxa" w:w="2160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Ubicación e Impacto Técnico</w:t>
            </w:r>
          </w:p>
        </w:tc>
        <w:tc>
          <w:tcPr>
            <w:tcW w:type="dxa" w:w="2160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Plan de Remediación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9"/>
              </w:rPr>
              <w:t>HOTSPOT-01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Multer Upload Limit (S5693)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MODERADO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src/middleware/upload.js:12. Verificar que el límite de tamaño de archivo (15MB) no genere denegación de servicio por agotamiento de RAM/disco.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Revisado / Mitigado. Límite acotado a 15MB con descarte automático por stream.</w:t>
            </w:r>
          </w:p>
        </w:tc>
      </w:tr>
      <w:tr>
        <w:tc>
          <w:tcPr>
            <w:tcW w:type="dxa" w:w="1584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9"/>
              </w:rPr>
              <w:t>HOTSPOT-02</w:t>
            </w:r>
          </w:p>
        </w:tc>
        <w:tc>
          <w:tcPr>
            <w:tcW w:type="dxa" w:w="2160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Uso de Math.random (S2245)</w:t>
            </w:r>
          </w:p>
        </w:tc>
        <w:tc>
          <w:tcPr>
            <w:tcW w:type="dxa" w:w="1296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LEVE</w:t>
            </w:r>
          </w:p>
        </w:tc>
        <w:tc>
          <w:tcPr>
            <w:tcW w:type="dxa" w:w="2160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src/middleware/upload.js:18. SonarQube alerta sobre generador pseudorandom en sufijo de nombres de archivos clínicos.</w:t>
            </w:r>
          </w:p>
        </w:tc>
        <w:tc>
          <w:tcPr>
            <w:tcW w:type="dxa" w:w="2160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Recomendación: Reemplazar Math.random() por crypto.randomBytes(16).toString('hex').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9"/>
              </w:rPr>
              <w:t>HOTSPOT-03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CORS Permisivo (S5122)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MODERADO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src/app.js:21. Cors habilitado con origin: '*'. En desarrollo permite clientes locales pero en producción debe restringirse al dominio del frontend.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Remediación: Parametrizar CORS_ORIGIN por variable de entorno para restringir a https://cuidarte.cl.</w:t>
            </w:r>
          </w:p>
        </w:tc>
      </w:tr>
      <w:tr>
        <w:tc>
          <w:tcPr>
            <w:tcW w:type="dxa" w:w="1584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9"/>
              </w:rPr>
              <w:t>SMELL-01</w:t>
            </w:r>
          </w:p>
        </w:tc>
        <w:tc>
          <w:tcPr>
            <w:tcW w:type="dxa" w:w="2160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Complejidad Cognitiva (S3776)</w:t>
            </w:r>
          </w:p>
        </w:tc>
        <w:tc>
          <w:tcPr>
            <w:tcW w:type="dxa" w:w="1296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MODERADO</w:t>
            </w:r>
          </w:p>
        </w:tc>
        <w:tc>
          <w:tcPr>
            <w:tcW w:type="dxa" w:w="2160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src/config/database.js:255. La función query() en modo emulado posee complejidad cognitiva de 76 frente a un umbral recomendado de 15.</w:t>
            </w:r>
          </w:p>
        </w:tc>
        <w:tc>
          <w:tcPr>
            <w:tcW w:type="dxa" w:w="2160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Remediación: Dividir el analizador SQL en submódulos especializados por tabla (usuarios, examenes).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9"/>
              </w:rPr>
              <w:t>SMELL-02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Operador Ternario Anidado (S3358)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LEVE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src/services/auditService.js:33. Sentencia ternaria anidada en la serialización del campo detalles de auditoría.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Remediación: Extraer a una función utilitaria formatearDetalleAuditoria().</w:t>
            </w:r>
          </w:p>
        </w:tc>
      </w:tr>
    </w:tbl>
    <w:p>
      <w:r>
        <w:br w:type="page"/>
      </w:r>
    </w:p>
    <w:p>
      <w:pPr>
        <w:keepNext/>
        <w:spacing w:line="360" w:lineRule="auto" w:before="320" w:after="160"/>
      </w:pPr>
      <w:r>
        <w:rPr>
          <w:rFonts w:ascii="Arial" w:hAnsi="Arial"/>
          <w:b/>
          <w:color w:val="003366"/>
          <w:sz w:val="24"/>
        </w:rPr>
        <w:t>6. Análisis Ético y Normativo de los Resultados Obtenidos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El desarrollo y aseguramiento de software en el sector sanitario no constituye un mero desafío tecnológico, sino un imperativo ético y legal de primer orden. Los sistemas de información clínica custodian datos íntimos que describen el estado biológico, patologías y pronósticos de personas reales.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1. Principio Bioético de No Maleficencia y Confidencialidad: Una falla de control de acceso (como un Broken Access Control catalogado en OWASP A01) en Cuidarte+ podría provocar que un paciente conozca diagnósticos o resultados de terceras personas. Las pruebas ejecutadas demostraron que la segregación mediante middlewares RBAC neutraliza con éxito esta eventualidad, salvaguardando la dignidad y privacidad de los pacientes.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2. Responsabilidad Legal del Profesional Informático: En virtud de la Ley Nº 19.628 y la reciente actualización sobre delitos informáticos (Ley Nº 21.459), la negligencia en la protección de bases de datos de salud puede acarrear sanciones patrimoniales directas para la institución de salud y responsabilidades penales para quienes incurran en vulneraciones a la custodia de la información. El uso continuado de herramientas como SonarQube para detectar deudas técnicas y fallos de sanitización constituye un estándar de diligencia debida indiscutible.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3. Trazabilidad e Inmutabilidad Forense: La implementación de la bitácora de auditoría (RF-5.1) da cumplimiento a las directrices de la Superintendencia de Salud de Chile, permitiendo determinar con certeza temporal e identificación de red qué usuario accedió o descargó un documento clínico, disuadiendo el uso indebido por parte de personal interno.</w:t>
      </w:r>
    </w:p>
    <w:p>
      <w:pPr>
        <w:keepNext/>
        <w:spacing w:line="360" w:lineRule="auto" w:before="320" w:after="160"/>
      </w:pPr>
      <w:r>
        <w:rPr>
          <w:rFonts w:ascii="Arial" w:hAnsi="Arial"/>
          <w:b/>
          <w:color w:val="003366"/>
          <w:sz w:val="24"/>
        </w:rPr>
        <w:t>7. Conclusiones y Recomendaciones de Mejora Continua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El proceso de evaluación técnica y aseguramiento de calidad ejecutado sobre Cuidarte+ concluye satisfactoriamente con los siguientes hitos verificados: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• Se logró una cobertura del 100% sobre la totalidad de requerimientos funcionales y no funcionales del ERS.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• El análisis estático en SonarQube 9.9 LTS dictaminó Quality Gate en estado 'OK' (Passed), sin vulnerabilidades abiertas y con 0% de duplicación de código.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• Se ejecutaron 25 pruebas automatizadas con 100% de efectividad y una cobertura de código del 70.7%, superando el estándar mínimo exigido.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2"/>
        </w:rPr>
        <w:t>• Como plan de mejora continua, se recomienda incorporar el escaneo de SonarQube en una tubería de integración continua (CI/CD) de GitHub Actions o GitLab CI, e integrar autenticación de doble factor (2FA) para el acceso médico y administrativo.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