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PrepAPig Functional Test Suite</w:t>
      </w:r>
    </w:p>
    <w:p>
      <w:pPr>
        <w:pStyle w:val="SubtitleCustom"/>
      </w:pPr>
      <w:r>
        <w:t>Feed and Vaccination Mark-as-Done Functions</w:t>
      </w:r>
    </w:p>
    <w:p>
      <w:r>
        <w:t>Document date: October 7, 2026</w:t>
      </w:r>
    </w:p>
    <w:p>
      <w:r>
        <w:t>Repository: it332-capstone-PrePApig-backup | Branch: main | Commit: 7c51058</w:t>
      </w:r>
    </w:p>
    <w:p>
      <w:pPr>
        <w:pStyle w:val="Heading1"/>
      </w:pPr>
      <w:r>
        <w:t>1. Purpose</w:t>
      </w:r>
    </w:p>
    <w:p>
      <w:r>
        <w:t>This document defines the functional test coverage for the two primary PrepAPig dashboard functions: marking a feed activity as done and marking a vaccination activity as done. The suite validates payload construction, input conversion, date handling, identifier preservation, and frontend build integration without changing the established user-interface design.</w:t>
      </w:r>
    </w:p>
    <w:p>
      <w:pPr>
        <w:pStyle w:val="Heading1"/>
      </w:pPr>
      <w:r>
        <w:t>2. Functions Under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24"/>
          </w:tcPr>
          <w:p>
            <w:r>
              <w:t>Feed mark-as-done</w:t>
            </w:r>
          </w:p>
        </w:tc>
        <w:tc>
          <w:tcPr>
            <w:tcW w:type="dxa" w:w="3324"/>
          </w:tcPr>
          <w:p>
            <w:r>
              <w:t>frontend/src/utils/markDonePayloads.js → buildFeedDonePayload</w:t>
            </w:r>
          </w:p>
        </w:tc>
        <w:tc>
          <w:tcPr>
            <w:tcW w:type="dxa" w:w="3324"/>
          </w:tcPr>
          <w:p>
            <w:r>
              <w:t>Creates a feed record payload with batch, feed type, quantity, date, time, and notes.</w:t>
            </w:r>
          </w:p>
        </w:tc>
      </w:tr>
      <w:tr>
        <w:tc>
          <w:tcPr>
            <w:tcW w:type="dxa" w:w="3324"/>
          </w:tcPr>
          <w:p>
            <w:r>
              <w:t>Vaccination mark-as-done</w:t>
            </w:r>
          </w:p>
        </w:tc>
        <w:tc>
          <w:tcPr>
            <w:tcW w:type="dxa" w:w="3324"/>
          </w:tcPr>
          <w:p>
            <w:r>
              <w:t>frontend/src/utils/markDonePayloads.js → buildVaccinationDonePayload</w:t>
            </w:r>
          </w:p>
        </w:tc>
        <w:tc>
          <w:tcPr>
            <w:tcW w:type="dxa" w:w="3324"/>
          </w:tcPr>
          <w:p>
            <w:r>
              <w:t>Creates a completed vaccination payload with batch, vaccine, dosage, dates, administrator, status, and notes.</w:t>
            </w:r>
          </w:p>
        </w:tc>
      </w:tr>
    </w:tbl>
    <w:p>
      <w:pPr>
        <w:pStyle w:val="Heading1"/>
      </w:pPr>
      <w:r>
        <w:t>3. Test Environment</w:t>
      </w:r>
    </w:p>
    <w:p>
      <w:pPr>
        <w:pStyle w:val="ListBullet"/>
      </w:pPr>
      <w:r>
        <w:t>Node.js test runner using node --test</w:t>
      </w:r>
    </w:p>
    <w:p>
      <w:pPr>
        <w:pStyle w:val="ListBullet"/>
      </w:pPr>
      <w:r>
        <w:t>Frontend package: frontend</w:t>
      </w:r>
    </w:p>
    <w:p>
      <w:pPr>
        <w:pStyle w:val="ListBullet"/>
      </w:pPr>
      <w:r>
        <w:t>Test file: frontend/tests/markDonePayloads.test.js</w:t>
      </w:r>
    </w:p>
    <w:p>
      <w:pPr>
        <w:pStyle w:val="ListBullet"/>
      </w:pPr>
      <w:r>
        <w:t>Production verification command: npm run build</w:t>
      </w:r>
    </w:p>
    <w:p>
      <w:pPr>
        <w:pStyle w:val="ListBullet"/>
      </w:pPr>
      <w:r>
        <w:t>Code-quality verification: ESLint on the new utility</w:t>
      </w:r>
    </w:p>
    <w:p>
      <w:pPr>
        <w:pStyle w:val="ListBullet"/>
      </w:pPr>
      <w:r>
        <w:t>Repository state verified clean after commit and push</w:t>
      </w:r>
    </w:p>
    <w:p>
      <w:pPr>
        <w:pStyle w:val="Heading1"/>
      </w:pPr>
      <w:r>
        <w:t>4.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t>VAC-001</w:t>
            </w:r>
          </w:p>
        </w:tc>
        <w:tc>
          <w:tcPr>
            <w:tcW w:type="dxa" w:w="1994"/>
          </w:tcPr>
          <w:p>
            <w:r>
              <w:t>Vaccination</w:t>
            </w:r>
          </w:p>
        </w:tc>
        <w:tc>
          <w:tcPr>
            <w:tcW w:type="dxa" w:w="1994"/>
          </w:tcPr>
          <w:p>
            <w:r>
              <w:t>Valid batch, vaccine, and integer dose count</w:t>
            </w:r>
          </w:p>
        </w:tc>
        <w:tc>
          <w:tcPr>
            <w:tcW w:type="dxa" w:w="1994"/>
          </w:tcPr>
          <w:p>
            <w:r>
              <w:t>All required fields are generated with Completed status.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VAC-002</w:t>
            </w:r>
          </w:p>
        </w:tc>
        <w:tc>
          <w:tcPr>
            <w:tcW w:type="dxa" w:w="1994"/>
          </w:tcPr>
          <w:p>
            <w:r>
              <w:t>Vaccination</w:t>
            </w:r>
          </w:p>
        </w:tc>
        <w:tc>
          <w:tcPr>
            <w:tcW w:type="dxa" w:w="1994"/>
          </w:tcPr>
          <w:p>
            <w:r>
              <w:t>Decimal dose input</w:t>
            </w:r>
          </w:p>
        </w:tc>
        <w:tc>
          <w:tcPr>
            <w:tcW w:type="dxa" w:w="1994"/>
          </w:tcPr>
          <w:p>
            <w:r>
              <w:t>Dose is converted to an integer using parseInt behavior.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VAC-003</w:t>
            </w:r>
          </w:p>
        </w:tc>
        <w:tc>
          <w:tcPr>
            <w:tcW w:type="dxa" w:w="1994"/>
          </w:tcPr>
          <w:p>
            <w:r>
              <w:t>Vaccination</w:t>
            </w:r>
          </w:p>
        </w:tc>
        <w:tc>
          <w:tcPr>
            <w:tcW w:type="dxa" w:w="1994"/>
          </w:tcPr>
          <w:p>
            <w:r>
              <w:t>Empty dose input</w:t>
            </w:r>
          </w:p>
        </w:tc>
        <w:tc>
          <w:tcPr>
            <w:tcW w:type="dxa" w:w="1994"/>
          </w:tcPr>
          <w:p>
            <w:r>
              <w:t>Dosage defaults to 0.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VAC-004</w:t>
            </w:r>
          </w:p>
        </w:tc>
        <w:tc>
          <w:tcPr>
            <w:tcW w:type="dxa" w:w="1994"/>
          </w:tcPr>
          <w:p>
            <w:r>
              <w:t>Vaccination</w:t>
            </w:r>
          </w:p>
        </w:tc>
        <w:tc>
          <w:tcPr>
            <w:tcW w:type="dxa" w:w="1994"/>
          </w:tcPr>
          <w:p>
            <w:r>
              <w:t>Non-numeric dose input</w:t>
            </w:r>
          </w:p>
        </w:tc>
        <w:tc>
          <w:tcPr>
            <w:tcW w:type="dxa" w:w="1994"/>
          </w:tcPr>
          <w:p>
            <w:r>
              <w:t>Dosage defaults to 0 without throwing an exception.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VAC-005</w:t>
            </w:r>
          </w:p>
        </w:tc>
        <w:tc>
          <w:tcPr>
            <w:tcW w:type="dxa" w:w="1994"/>
          </w:tcPr>
          <w:p>
            <w:r>
              <w:t>Vaccination</w:t>
            </w:r>
          </w:p>
        </w:tc>
        <w:tc>
          <w:tcPr>
            <w:tcW w:type="dxa" w:w="1994"/>
          </w:tcPr>
          <w:p>
            <w:r>
              <w:t>Thirty-day due-date calculation</w:t>
            </w:r>
          </w:p>
        </w:tc>
        <w:tc>
          <w:tcPr>
            <w:tcW w:type="dxa" w:w="1994"/>
          </w:tcPr>
          <w:p>
            <w:r>
              <w:t>Next due date is 30 days after vaccination date.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VAC-006</w:t>
            </w:r>
          </w:p>
        </w:tc>
        <w:tc>
          <w:tcPr>
            <w:tcW w:type="dxa" w:w="1994"/>
          </w:tcPr>
          <w:p>
            <w:r>
              <w:t>Vaccination</w:t>
            </w:r>
          </w:p>
        </w:tc>
        <w:tc>
          <w:tcPr>
            <w:tcW w:type="dxa" w:w="1994"/>
          </w:tcPr>
          <w:p>
            <w:r>
              <w:t>Month and year rollover</w:t>
            </w:r>
          </w:p>
        </w:tc>
        <w:tc>
          <w:tcPr>
            <w:tcW w:type="dxa" w:w="1994"/>
          </w:tcPr>
          <w:p>
            <w:r>
              <w:t>Dates roll correctly across December and January.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VAC-007</w:t>
            </w:r>
          </w:p>
        </w:tc>
        <w:tc>
          <w:tcPr>
            <w:tcW w:type="dxa" w:w="1994"/>
          </w:tcPr>
          <w:p>
            <w:r>
              <w:t>Vaccination</w:t>
            </w:r>
          </w:p>
        </w:tc>
        <w:tc>
          <w:tcPr>
            <w:tcW w:type="dxa" w:w="1994"/>
          </w:tcPr>
          <w:p>
            <w:r>
              <w:t>Special characters in IDs and names</w:t>
            </w:r>
          </w:p>
        </w:tc>
        <w:tc>
          <w:tcPr>
            <w:tcW w:type="dxa" w:w="1994"/>
          </w:tcPr>
          <w:p>
            <w:r>
              <w:t>Batch and vaccine values are preserved literally.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FEED-001</w:t>
            </w:r>
          </w:p>
        </w:tc>
        <w:tc>
          <w:tcPr>
            <w:tcW w:type="dxa" w:w="1994"/>
          </w:tcPr>
          <w:p>
            <w:r>
              <w:t>Feed</w:t>
            </w:r>
          </w:p>
        </w:tc>
        <w:tc>
          <w:tcPr>
            <w:tcW w:type="dxa" w:w="1994"/>
          </w:tcPr>
          <w:p>
            <w:r>
              <w:t>Valid decimal quantity</w:t>
            </w:r>
          </w:p>
        </w:tc>
        <w:tc>
          <w:tcPr>
            <w:tcW w:type="dxa" w:w="1994"/>
          </w:tcPr>
          <w:p>
            <w:r>
              <w:t>Quantity is converted to a decimal number.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FEED-002</w:t>
            </w:r>
          </w:p>
        </w:tc>
        <w:tc>
          <w:tcPr>
            <w:tcW w:type="dxa" w:w="1994"/>
          </w:tcPr>
          <w:p>
            <w:r>
              <w:t>Feed</w:t>
            </w:r>
          </w:p>
        </w:tc>
        <w:tc>
          <w:tcPr>
            <w:tcW w:type="dxa" w:w="1994"/>
          </w:tcPr>
          <w:p>
            <w:r>
              <w:t>Empty quantity input</w:t>
            </w:r>
          </w:p>
        </w:tc>
        <w:tc>
          <w:tcPr>
            <w:tcW w:type="dxa" w:w="1994"/>
          </w:tcPr>
          <w:p>
            <w:r>
              <w:t>Quantity defaults to 0.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FEED-003</w:t>
            </w:r>
          </w:p>
        </w:tc>
        <w:tc>
          <w:tcPr>
            <w:tcW w:type="dxa" w:w="1994"/>
          </w:tcPr>
          <w:p>
            <w:r>
              <w:t>Feed</w:t>
            </w:r>
          </w:p>
        </w:tc>
        <w:tc>
          <w:tcPr>
            <w:tcW w:type="dxa" w:w="1994"/>
          </w:tcPr>
          <w:p>
            <w:r>
              <w:t>Non-numeric quantity input</w:t>
            </w:r>
          </w:p>
        </w:tc>
        <w:tc>
          <w:tcPr>
            <w:tcW w:type="dxa" w:w="1994"/>
          </w:tcPr>
          <w:p>
            <w:r>
              <w:t>Quantity defaults to 0 without throwing an exception.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FEED-004</w:t>
            </w:r>
          </w:p>
        </w:tc>
        <w:tc>
          <w:tcPr>
            <w:tcW w:type="dxa" w:w="1994"/>
          </w:tcPr>
          <w:p>
            <w:r>
              <w:t>Feed</w:t>
            </w:r>
          </w:p>
        </w:tc>
        <w:tc>
          <w:tcPr>
            <w:tcW w:type="dxa" w:w="1994"/>
          </w:tcPr>
          <w:p>
            <w:r>
              <w:t>Fractional quantity precision</w:t>
            </w:r>
          </w:p>
        </w:tc>
        <w:tc>
          <w:tcPr>
            <w:tcW w:type="dxa" w:w="1994"/>
          </w:tcPr>
          <w:p>
            <w:r>
              <w:t>Valid fractional values are preserved.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FEED-005</w:t>
            </w:r>
          </w:p>
        </w:tc>
        <w:tc>
          <w:tcPr>
            <w:tcW w:type="dxa" w:w="1994"/>
          </w:tcPr>
          <w:p>
            <w:r>
              <w:t>Feed</w:t>
            </w:r>
          </w:p>
        </w:tc>
        <w:tc>
          <w:tcPr>
            <w:tcW w:type="dxa" w:w="1994"/>
          </w:tcPr>
          <w:p>
            <w:r>
              <w:t>Negative quantity input</w:t>
            </w:r>
          </w:p>
        </w:tc>
        <w:tc>
          <w:tcPr>
            <w:tcW w:type="dxa" w:w="1994"/>
          </w:tcPr>
          <w:p>
            <w:r>
              <w:t>Current implementation preserves the numeric negative value; UI validation should reject it if business rules disallow it.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FEED-006</w:t>
            </w:r>
          </w:p>
        </w:tc>
        <w:tc>
          <w:tcPr>
            <w:tcW w:type="dxa" w:w="1994"/>
          </w:tcPr>
          <w:p>
            <w:r>
              <w:t>Feed</w:t>
            </w:r>
          </w:p>
        </w:tc>
        <w:tc>
          <w:tcPr>
            <w:tcW w:type="dxa" w:w="1994"/>
          </w:tcPr>
          <w:p>
            <w:r>
              <w:t>Special characters in IDs and feed types</w:t>
            </w:r>
          </w:p>
        </w:tc>
        <w:tc>
          <w:tcPr>
            <w:tcW w:type="dxa" w:w="1994"/>
          </w:tcPr>
          <w:p>
            <w:r>
              <w:t>Batch and feed values are preserved literally.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INT-001</w:t>
            </w:r>
          </w:p>
        </w:tc>
        <w:tc>
          <w:tcPr>
            <w:tcW w:type="dxa" w:w="1994"/>
          </w:tcPr>
          <w:p>
            <w:r>
              <w:t>Integration</w:t>
            </w:r>
          </w:p>
        </w:tc>
        <w:tc>
          <w:tcPr>
            <w:tcW w:type="dxa" w:w="1994"/>
          </w:tcPr>
          <w:p>
            <w:r>
              <w:t>Vaccination screen imports payload builder</w:t>
            </w:r>
          </w:p>
        </w:tc>
        <w:tc>
          <w:tcPr>
            <w:tcW w:type="dxa" w:w="1994"/>
          </w:tcPr>
          <w:p>
            <w:r>
              <w:t>Frontend production build succeeds.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INT-002</w:t>
            </w:r>
          </w:p>
        </w:tc>
        <w:tc>
          <w:tcPr>
            <w:tcW w:type="dxa" w:w="1994"/>
          </w:tcPr>
          <w:p>
            <w:r>
              <w:t>Integration</w:t>
            </w:r>
          </w:p>
        </w:tc>
        <w:tc>
          <w:tcPr>
            <w:tcW w:type="dxa" w:w="1994"/>
          </w:tcPr>
          <w:p>
            <w:r>
              <w:t>Feed screen imports payload builder</w:t>
            </w:r>
          </w:p>
        </w:tc>
        <w:tc>
          <w:tcPr>
            <w:tcW w:type="dxa" w:w="1994"/>
          </w:tcPr>
          <w:p>
            <w:r>
              <w:t>Frontend production build succeeds.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  <w:tr>
        <w:tc>
          <w:tcPr>
            <w:tcW w:type="dxa" w:w="1994"/>
          </w:tcPr>
          <w:p>
            <w:r>
              <w:t>INT-003</w:t>
            </w:r>
          </w:p>
        </w:tc>
        <w:tc>
          <w:tcPr>
            <w:tcW w:type="dxa" w:w="1994"/>
          </w:tcPr>
          <w:p>
            <w:r>
              <w:t>Integration</w:t>
            </w:r>
          </w:p>
        </w:tc>
        <w:tc>
          <w:tcPr>
            <w:tcW w:type="dxa" w:w="1994"/>
          </w:tcPr>
          <w:p>
            <w:r>
              <w:t>Test command execution</w:t>
            </w:r>
          </w:p>
        </w:tc>
        <w:tc>
          <w:tcPr>
            <w:tcW w:type="dxa" w:w="1994"/>
          </w:tcPr>
          <w:p>
            <w:r>
              <w:t>npm test completes with all tests passing.</w:t>
            </w:r>
          </w:p>
        </w:tc>
        <w:tc>
          <w:tcPr>
            <w:tcW w:type="dxa" w:w="1994"/>
          </w:tcPr>
          <w:p>
            <w:r>
              <w:t>Passed</w:t>
            </w:r>
          </w:p>
        </w:tc>
      </w:tr>
    </w:tbl>
    <w:p>
      <w:pPr>
        <w:pStyle w:val="Heading1"/>
      </w:pPr>
      <w:r>
        <w:t>5. Execution Results</w:t>
      </w:r>
    </w:p>
    <w:p>
      <w:pPr>
        <w:pStyle w:val="ListBullet"/>
      </w:pPr>
      <w:r>
        <w:t>Automated tests: 7 passed, 0 failed.</w:t>
      </w:r>
    </w:p>
    <w:p>
      <w:pPr>
        <w:pStyle w:val="ListBullet"/>
      </w:pPr>
      <w:r>
        <w:t>Frontend production build: passed.</w:t>
      </w:r>
    </w:p>
    <w:p>
      <w:pPr>
        <w:pStyle w:val="ListBullet"/>
      </w:pPr>
      <w:r>
        <w:t>ESLint check for the new utility: passed.</w:t>
      </w:r>
    </w:p>
    <w:p>
      <w:pPr>
        <w:pStyle w:val="ListBullet"/>
      </w:pPr>
      <w:r>
        <w:t>npm dependency dry-run: passed.</w:t>
      </w:r>
    </w:p>
    <w:p>
      <w:pPr>
        <w:pStyle w:val="ListBullet"/>
      </w:pPr>
      <w:r>
        <w:t>Repository synchronization: pushed to origin/main and verified with git pull --ff-only.</w:t>
      </w:r>
    </w:p>
    <w:p>
      <w:pPr>
        <w:pStyle w:val="Heading1"/>
      </w:pPr>
      <w:r>
        <w:t>6. Known Business-Rule Considerations</w:t>
      </w:r>
    </w:p>
    <w:p>
      <w:pPr>
        <w:pStyle w:val="ListBullet"/>
      </w:pPr>
      <w:r>
        <w:t>The current payload builder preserves negative feed quantities. If negative quantities are invalid for farm inventory, add explicit validation in the UI and backend.</w:t>
      </w:r>
    </w:p>
    <w:p>
      <w:pPr>
        <w:pStyle w:val="ListBullet"/>
      </w:pPr>
      <w:r>
        <w:t>Invalid vaccination doses currently become 0. If zero doses must be rejected, enforce a required positive-integer rule before submission.</w:t>
      </w:r>
    </w:p>
    <w:p>
      <w:pPr>
        <w:pStyle w:val="ListBullet"/>
      </w:pPr>
      <w:r>
        <w:t>The test suite focuses on the two mark-as-done functions and their frontend integration. API authentication, database persistence, notifications, and authorization require separate mocked controller or integration tests.</w:t>
      </w:r>
    </w:p>
    <w:p>
      <w:pPr>
        <w:pStyle w:val="Heading1"/>
      </w:pPr>
      <w:r>
        <w:t>7. Reproduction Commands</w:t>
      </w:r>
    </w:p>
    <w:p>
      <w:r>
        <w:t>From the frontend directory, run:</w:t>
      </w:r>
    </w:p>
    <w:p>
      <w:r>
        <w:t>npm test</w:t>
        <w:br/>
        <w:t>npm run build</w:t>
      </w:r>
    </w:p>
    <w:p>
      <w:pPr>
        <w:pStyle w:val="Heading1"/>
      </w:pPr>
      <w:r>
        <w:t>8. Test Artifacts</w:t>
      </w:r>
    </w:p>
    <w:p>
      <w:pPr>
        <w:pStyle w:val="ListBullet"/>
      </w:pPr>
      <w:r>
        <w:t>frontend/tests/markDonePayloads.test.js</w:t>
      </w:r>
    </w:p>
    <w:p>
      <w:pPr>
        <w:pStyle w:val="ListBullet"/>
      </w:pPr>
      <w:r>
        <w:t>frontend/src/utils/markDonePayloads.js</w:t>
      </w:r>
    </w:p>
    <w:p>
      <w:pPr>
        <w:pStyle w:val="ListBullet"/>
      </w:pPr>
      <w:r>
        <w:t>This Word document: docs/PrepAPig-Functional-Test-Suite.docx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PrepAPig Test Documentation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PrepAPig — Functional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 Display" w:hAnsi="Aptos Display"/>
      <w:b/>
      <w:color w:val="D63384"/>
    </w:rPr>
  </w:style>
  <w:style w:type="paragraph" w:customStyle="1" w:styleId="SubtitleCustom">
    <w:name w:val="SubtitleCustom"/>
    <w:rPr>
      <w:rFonts w:ascii="Aptos" w:hAnsi="Aptos"/>
      <w:i/>
      <w:color w:val="66666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