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502D"/>
          <w:sz w:val="26"/>
        </w:rPr>
        <w:t>UNIVERSIDAD TÉCNICA ESTATAL DE QUEVEDO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2"/>
        </w:rPr>
        <w:t>FACULTAD DE CIENCIAS DE LA COMPUTACIÓN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2"/>
        </w:rPr>
        <w:t>INGENIERÍA DE REQUERIMIENTOS (ISR-401)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00502D"/>
          <w:sz w:val="28"/>
        </w:rPr>
        <w:t>ANEXO A - LISTA DE VERIFICACIÓN DE INSPECCIÓN FAGAN</w:t>
      </w:r>
    </w:p>
    <w:p>
      <w:pPr>
        <w:jc w:val="center"/>
      </w:pPr>
      <w:r>
        <w:rPr>
          <w:rFonts w:ascii="Times New Roman" w:hAnsi="Times New Roman" w:eastAsia="Times New Roman"/>
          <w:b/>
          <w:sz w:val="23"/>
        </w:rPr>
        <w:t>Inspector 1 - Anderson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Proyecto</w:t>
            </w:r>
          </w:p>
        </w:tc>
        <w:tc>
          <w:tcPr>
            <w:tcW w:type="dxa" w:w="515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Sistema Inteligente de Control y Seguimiento de Terapia Física (SICST)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Documento inspeccionado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ERS/SRS Entrega 3 (2A) - versión 2A-Final-v2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Inspector</w:t>
            </w:r>
          </w:p>
        </w:tc>
        <w:tc>
          <w:tcPr>
            <w:tcW w:type="dxa" w:w="515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Anderson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Rol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Inspector 1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Fecha de preparación</w:t>
            </w:r>
          </w:p>
        </w:tc>
        <w:tc>
          <w:tcPr>
            <w:tcW w:type="dxa" w:w="515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09/08/2026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E7F1EB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Hora inicio / fin</w:t>
            </w:r>
          </w:p>
        </w:tc>
        <w:tc>
          <w:tcPr>
            <w:tcW w:type="dxa" w:w="5669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18:30 / 18:55</w:t>
            </w:r>
          </w:p>
        </w:tc>
      </w:tr>
    </w:tbl>
    <w:p>
      <w:pPr>
        <w:spacing w:before="100" w:after="100"/>
      </w:pPr>
      <w:r>
        <w:rPr>
          <w:rFonts w:ascii="Times New Roman" w:hAnsi="Times New Roman" w:eastAsia="Times New Roman"/>
          <w:b w:val="0"/>
          <w:sz w:val="18"/>
        </w:rPr>
        <w:t>Indicaciones: el inspector debe contrastar personalmente cada hallazgo con las páginas indicadas del ERS antes de fechar y firmar. Si no confirma un hallazgo, debe corregirlo o reemplazarlo. La inspección individual se realiza antes de la reunión Fagan; durante la reunión solo se reportan y consolidan defectos, sin discutir soluciones.</w:t>
      </w:r>
    </w:p>
    <w:p>
      <w:pPr>
        <w:spacing w:before="40" w:after="80"/>
      </w:pPr>
      <w:r>
        <w:rPr>
          <w:rFonts w:ascii="Times New Roman" w:hAnsi="Times New Roman" w:eastAsia="Times New Roman"/>
          <w:b/>
          <w:color w:val="00502D"/>
          <w:sz w:val="22"/>
        </w:rPr>
        <w:t>A.1 Lista de verificación - seis propiedades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Pregunta de verificación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Requisito / sección revisada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Cumple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Evidencia en el ERS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006B3C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Observación del defecto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D-AN-01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Ambigüedad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¿Los términos que activan alertas tienen umbrales definidos y una sola interpretación?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RF-28 - Generar alertas terapéuticas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48, Tabla 42: alerta por incumplimiento, aumento de dolor, fatiga elevada, errores frecuentes o posible riesgo.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 se definen umbrales para «aumento de dolor», «fatiga elevada», «errores frecuentes» ni «posible riesgo». Dos evaluadores podrían activar la alerta con criterios distintos.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D-AN-02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Completitud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¿La métrica de disponibilidad define el periodo de observación necesario para calcular el porcentaje?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RNF-07 - Disponibilidad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51, Tabla 47: disponibilidad mínima del 95 % durante el «periodo de pruebas definido por el equipo».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 se fija duración del periodo, número de comprobaciones ni ventana de medición. Falta información para calcular el 95 % de manera reproducible.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D-AN-03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Consistencia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¿La prioridad de un requisito obligatorio es coherente con la prioridad de los requisitos de los que depende?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RF-15 frente a RF-06 y RF-07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36, Tabla 14, y p. 43, Tabla 29: RF-15 = Must y depende de RF-06/RF-07; RF-06 y RF-07 = Should.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 requisito Must depende de dos requisitos Should. Si los Should se posponen, RF-15 puede quedar impedido aunque esté clasificado como indispensable.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D-AN-04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Verificabilidad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¿El criterio de accesibilidad puede medirse con un umbral objetivo?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RNF-11 - Accesibilidad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52, Tabla 47: 100 % de pantallas principales con textos legibles, botones identificables y «contraste adecuado».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«Contraste adecuado» no establece relación de contraste, estándar o valor mínimo; por tanto, el cumplimiento no puede decidirse objetivamente.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D-AN-05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Trazabilidad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¿Los códigos de evidencia usados en los requisitos coinciden con los identificadores de las evidencias actuales del documento?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§3.2 / §6.2 / Anexos de evidencias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pp. 34-35 usa EV-ENT-01..04 / EV-CUE-01 / EV-CONS-01; p. 96 y anexos usan EV2-ENT-01, EV2-PAC-01..14 y EV2-EST-01.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Conviven dos nomenclaturas (EV-* y EV2-*), sin una tabla de equivalencia explícita. Esto dificulta seguir un RF hasta su evidencia actual.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D-AN-06</w:t>
            </w:r>
          </w:p>
        </w:tc>
        <w:tc>
          <w:tcPr>
            <w:tcW w:type="dxa" w:w="153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Factibilidad</w:t>
            </w:r>
          </w:p>
        </w:tc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¿El objetivo de rendimiento define un entorno técnico suficiente para evaluar si es viable y reproducible?</w:t>
            </w:r>
          </w:p>
        </w:tc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RNF-03 - Procesamiento visual mínimo de 15 FPS</w:t>
            </w:r>
          </w:p>
        </w:tc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51, Tabla 47: mínimo 15 FPS con cámara 720p y condiciones controladas; p. 18 define cámara/red, pero no hardware de procesamiento de referencia.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El objetivo de 15 FPS depende fuertemente del CPU/GPU y navegador. Sin hardware de referencia o configuración mínima no puede evaluarse de forma consistente la factibilidad del objetivo.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Times New Roman"/>
          <w:b/>
          <w:color w:val="00502D"/>
          <w:sz w:val="22"/>
        </w:rPr>
        <w:t>A.2 Hallazgos adicionales para ampliar la preparación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Elemento revisado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Evidencia en el ERS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B8860B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Validado por inspector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D-AN-07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Consistencia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RF-19 frente a RF-18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pp. 44-45: RF-19 = Must y depende de RF-18; RF-18 = Should.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RF-19 es obligatorio, pero depende de una guía visual clasificada como Should. La priorización permite omitir una dependencia que el propio RF-19 declara necesaria.</w:t>
            </w:r>
          </w:p>
        </w:tc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D-AN-08</w:t>
            </w:r>
          </w:p>
        </w:tc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Completitud / Trazabilidad</w:t>
            </w:r>
          </w:p>
        </w:tc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EV-ENT-04 en §3.2.1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PDF p. 34 cita EV-ENT-04; p. 35, Tabla 13, define EV-ENT-01, 02, 03, EV-CUE-01 y EV-CONS-01, pero no EV-ENT-04; p. 81 lo usa para RF-22 a RF-24.</w:t>
            </w:r>
          </w:p>
        </w:tc>
        <w:tc>
          <w:tcPr>
            <w:tcW w:type="dxa" w:w="578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EV-ENT-04 se usa como fuente, pero falta su definición en la tabla oficial de fuentes de evidencia. No puede verificarse su significado desde §3.2.1.</w:t>
            </w:r>
          </w:p>
        </w:tc>
        <w:tc>
          <w:tcPr>
            <w:tcW w:type="dxa" w:w="181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Sí</w:t>
            </w:r>
          </w:p>
        </w:tc>
      </w:tr>
    </w:tbl>
    <w:p>
      <w:pPr>
        <w:spacing w:before="140" w:after="40"/>
      </w:pPr>
      <w:r>
        <w:rPr>
          <w:rFonts w:ascii="Times New Roman" w:hAnsi="Times New Roman" w:eastAsia="Times New Roman"/>
          <w:b/>
          <w:sz w:val="21"/>
        </w:rPr>
        <w:t>Declaración del inspector</w:t>
      </w:r>
    </w:p>
    <w:p>
      <w:pPr>
        <w:spacing w:after="140"/>
      </w:pPr>
      <w:r>
        <w:rPr>
          <w:rFonts w:ascii="Times New Roman" w:hAnsi="Times New Roman" w:eastAsia="Times New Roman"/>
          <w:b w:val="0"/>
          <w:sz w:val="18"/>
        </w:rPr>
        <w:t>Declaro que revisé individualmente los elementos señalados contra el ERS/SRS indicado y que los hallazgos que mantengo marcados como válidos corresponden a mi preparación previa a la reunión de inspección.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cantSplit/>
        </w:trPr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Firma del inspector:</w:t>
              <w:br/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5625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ers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62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Fecha:</w:t>
              <w:br/>
              <w:t>09/08/2026</w:t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Hora de cierre de preparación:</w:t>
              <w:br/>
              <w:t>18:55</w:t>
            </w:r>
          </w:p>
        </w:tc>
      </w:tr>
      <w:tr>
        <w:trPr>
          <w:cantSplit/>
        </w:trPr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Nombre:</w:t>
              <w:br/>
              <w:t>Anderson</w:t>
            </w:r>
          </w:p>
        </w:tc>
        <w:tc>
          <w:tcPr>
            <w:tcW w:type="dxa" w:w="517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Rol:</w:t>
              <w:br/>
              <w:t>Inspector 1</w:t>
            </w:r>
          </w:p>
        </w:tc>
        <w:tc>
          <w:tcPr>
            <w:tcW w:type="dxa" w:w="517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Total de defectos validados:</w:t>
              <w:br/>
              <w:t>8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52" w:right="652" w:bottom="652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6"/>
      </w:rPr>
      <w:t>PE4 - SICST | Anexo A - Preparación individual de inspección Fagan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