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/>
        <w:spacing w:before="0" w:after="2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  <w:u w:val="none"/>
        </w:rPr>
        <w:t>UNIVERSIDAD TÉCNICA ESTATAL DE QUEVEDO</w:t>
      </w:r>
    </w:p>
    <w:p>
      <w:pPr>
        <w:keepNext/>
        <w:widowControl/>
        <w:spacing w:before="0" w:after="2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Facultad de Ciencias de la Computación — Carrera de Ingeniería de Software</w:t>
      </w:r>
    </w:p>
    <w:p>
      <w:pPr>
        <w:keepNext/>
        <w:widowControl/>
        <w:spacing w:before="0" w:after="2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18"/>
          <w:u w:val="none"/>
        </w:rPr>
        <w:t>ISR-401 Ingeniería de Requisitos | 2026-2027 PPA | Expediente ético PFC #10 — Categoría A</w:t>
      </w:r>
    </w:p>
    <w:p>
      <w:pPr>
        <w:keepNext/>
        <w:widowControl/>
        <w:spacing w:before="160" w:after="4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9"/>
          <w:u w:val="none"/>
        </w:rPr>
        <w:t>ANÁLISIS DE RIESGOS Y MEDIDAS DE MITIGACIÓN</w:t>
      </w:r>
    </w:p>
    <w:p>
      <w:pPr>
        <w:keepNext/>
        <w:widowControl/>
        <w:spacing w:before="0" w:after="18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16"/>
          <w:u w:val="none"/>
        </w:rPr>
        <w:t>PFC #10 — Sistema Inteligente de Control y Seguimiento de Terapia Física | Documento 11 de 12 — Anexo A | Categoría A — Datos sensibles de salud y biométricos</w:t>
      </w:r>
    </w:p>
    <w:p>
      <w:pPr>
        <w:widowControl/>
        <w:spacing w:before="0"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16"/>
          <w:u w:val="none"/>
        </w:rPr>
        <w:t>Matriz cualitativa de riesgos éticos, técnicos, operativos y reputacionales. Probabilidad e impacto: Baja, Media o Alta. Se revisará antes de cada actividad con participantes y antes de publicar evidencias.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97"/>
        <w:gridCol w:w="3118"/>
        <w:gridCol w:w="850"/>
        <w:gridCol w:w="907"/>
        <w:gridCol w:w="794"/>
        <w:gridCol w:w="7937"/>
      </w:tblGrid>
      <w:tr>
        <w:trPr>
          <w:cantSplit/>
          <w:tblHeader w:val="true"/>
        </w:trPr>
        <w:tc>
          <w:tcPr>
            <w:tcW w:type="dxa" w:w="397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3"/>
                <w:u w:val="none"/>
              </w:rPr>
              <w:t>#</w:t>
            </w:r>
          </w:p>
        </w:tc>
        <w:tc>
          <w:tcPr>
            <w:tcW w:type="dxa" w:w="3118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3"/>
                <w:u w:val="none"/>
              </w:rPr>
              <w:t>Descripción del riesgo</w:t>
            </w:r>
          </w:p>
        </w:tc>
        <w:tc>
          <w:tcPr>
            <w:tcW w:type="dxa" w:w="850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3"/>
                <w:u w:val="none"/>
              </w:rPr>
              <w:t>Prob.</w:t>
            </w:r>
          </w:p>
        </w:tc>
        <w:tc>
          <w:tcPr>
            <w:tcW w:type="dxa" w:w="907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3"/>
                <w:u w:val="none"/>
              </w:rPr>
              <w:t>Impacto</w:t>
            </w:r>
          </w:p>
        </w:tc>
        <w:tc>
          <w:tcPr>
            <w:tcW w:type="dxa" w:w="794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3"/>
                <w:u w:val="none"/>
              </w:rPr>
              <w:t>Nivel</w:t>
            </w:r>
          </w:p>
        </w:tc>
        <w:tc>
          <w:tcPr>
            <w:tcW w:type="dxa" w:w="7937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3"/>
                <w:u w:val="none"/>
              </w:rPr>
              <w:t>Medida de mitigación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1</w:t>
            </w:r>
          </w:p>
        </w:tc>
        <w:tc>
          <w:tcPr>
            <w:tcW w:type="dxa" w:w="3118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Divulgación de datos personales.</w:t>
            </w:r>
          </w:p>
        </w:tc>
        <w:tc>
          <w:tcPr>
            <w:tcW w:type="dxa" w:w="850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Media</w:t>
            </w:r>
          </w:p>
        </w:tc>
        <w:tc>
          <w:tcPr>
            <w:tcW w:type="dxa" w:w="907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Alto</w:t>
            </w:r>
          </w:p>
        </w:tc>
        <w:tc>
          <w:tcPr>
            <w:tcW w:type="dxa" w:w="794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Alto</w:t>
            </w:r>
          </w:p>
        </w:tc>
        <w:tc>
          <w:tcPr>
            <w:tcW w:type="dxa" w:w="7937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Códigos; correspondencia separada; AES-256; acceso restringido; revisión previa.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2</w:t>
            </w:r>
          </w:p>
        </w:tc>
        <w:tc>
          <w:tcPr>
            <w:tcW w:type="dxa" w:w="3118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Captura accidental de datos clínicos o imagen de paciente.</w:t>
            </w:r>
          </w:p>
        </w:tc>
        <w:tc>
          <w:tcPr>
            <w:tcW w:type="dxa" w:w="850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Baja</w:t>
            </w:r>
          </w:p>
        </w:tc>
        <w:tc>
          <w:tcPr>
            <w:tcW w:type="dxa" w:w="907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Alto</w:t>
            </w:r>
          </w:p>
        </w:tc>
        <w:tc>
          <w:tcPr>
            <w:tcW w:type="dxa" w:w="794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Alto</w:t>
            </w:r>
          </w:p>
        </w:tc>
        <w:tc>
          <w:tcPr>
            <w:tcW w:type="dxa" w:w="7937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No ingresar a atención clínica; detener, aislar y eliminar en 24 h; reportar.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3</w:t>
            </w:r>
          </w:p>
        </w:tc>
        <w:tc>
          <w:tcPr>
            <w:tcW w:type="dxa" w:w="3118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Uso del prototipo como diagnóstico.</w:t>
            </w:r>
          </w:p>
        </w:tc>
        <w:tc>
          <w:tcPr>
            <w:tcW w:type="dxa" w:w="850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Baja</w:t>
            </w:r>
          </w:p>
        </w:tc>
        <w:tc>
          <w:tcPr>
            <w:tcW w:type="dxa" w:w="907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Alto</w:t>
            </w:r>
          </w:p>
        </w:tc>
        <w:tc>
          <w:tcPr>
            <w:tcW w:type="dxa" w:w="794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Alto</w:t>
            </w:r>
          </w:p>
        </w:tc>
        <w:tc>
          <w:tcPr>
            <w:tcW w:type="dxa" w:w="7937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Aviso de uso académico; resultados no diagnósticos; revisión profesional.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4</w:t>
            </w:r>
          </w:p>
        </w:tc>
        <w:tc>
          <w:tcPr>
            <w:tcW w:type="dxa" w:w="3118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Reidentificación por rol, voz o contexto.</w:t>
            </w:r>
          </w:p>
        </w:tc>
        <w:tc>
          <w:tcPr>
            <w:tcW w:type="dxa" w:w="850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Media</w:t>
            </w:r>
          </w:p>
        </w:tc>
        <w:tc>
          <w:tcPr>
            <w:tcW w:type="dxa" w:w="907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Alto</w:t>
            </w:r>
          </w:p>
        </w:tc>
        <w:tc>
          <w:tcPr>
            <w:tcW w:type="dxa" w:w="794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Alto</w:t>
            </w:r>
          </w:p>
        </w:tc>
        <w:tc>
          <w:tcPr>
            <w:tcW w:type="dxa" w:w="7937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Generalizar cargos; no publicar audio; revisión cruzada de variables.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5</w:t>
            </w:r>
          </w:p>
        </w:tc>
        <w:tc>
          <w:tcPr>
            <w:tcW w:type="dxa" w:w="3118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Pérdida, robo o acceso no autorizado.</w:t>
            </w:r>
          </w:p>
        </w:tc>
        <w:tc>
          <w:tcPr>
            <w:tcW w:type="dxa" w:w="850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Media</w:t>
            </w:r>
          </w:p>
        </w:tc>
        <w:tc>
          <w:tcPr>
            <w:tcW w:type="dxa" w:w="907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Alto</w:t>
            </w:r>
          </w:p>
        </w:tc>
        <w:tc>
          <w:tcPr>
            <w:tcW w:type="dxa" w:w="794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Alto</w:t>
            </w:r>
          </w:p>
        </w:tc>
        <w:tc>
          <w:tcPr>
            <w:tcW w:type="dxa" w:w="7937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Cifrado, 2FA, respaldo cifrado, permisos mínimos y registro de acceso.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6</w:t>
            </w:r>
          </w:p>
        </w:tc>
        <w:tc>
          <w:tcPr>
            <w:tcW w:type="dxa" w:w="3118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Sesgo o error del análisis de movimiento.</w:t>
            </w:r>
          </w:p>
        </w:tc>
        <w:tc>
          <w:tcPr>
            <w:tcW w:type="dxa" w:w="850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Media</w:t>
            </w:r>
          </w:p>
        </w:tc>
        <w:tc>
          <w:tcPr>
            <w:tcW w:type="dxa" w:w="907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Medio</w:t>
            </w:r>
          </w:p>
        </w:tc>
        <w:tc>
          <w:tcPr>
            <w:tcW w:type="dxa" w:w="794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Medio</w:t>
            </w:r>
          </w:p>
        </w:tc>
        <w:tc>
          <w:tcPr>
            <w:tcW w:type="dxa" w:w="7937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Datos diversos; métricas transparentes; advertencias; revisión humana.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7</w:t>
            </w:r>
          </w:p>
        </w:tc>
        <w:tc>
          <w:tcPr>
            <w:tcW w:type="dxa" w:w="3118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Daño reputacional al establecimiento.</w:t>
            </w:r>
          </w:p>
        </w:tc>
        <w:tc>
          <w:tcPr>
            <w:tcW w:type="dxa" w:w="850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Baja</w:t>
            </w:r>
          </w:p>
        </w:tc>
        <w:tc>
          <w:tcPr>
            <w:tcW w:type="dxa" w:w="907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Alto</w:t>
            </w:r>
          </w:p>
        </w:tc>
        <w:tc>
          <w:tcPr>
            <w:tcW w:type="dxa" w:w="794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Medio</w:t>
            </w:r>
          </w:p>
        </w:tc>
        <w:tc>
          <w:tcPr>
            <w:tcW w:type="dxa" w:w="7937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No identificar sin aval; resultados agregados; revisión de datos institucionales.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8</w:t>
            </w:r>
          </w:p>
        </w:tc>
        <w:tc>
          <w:tcPr>
            <w:tcW w:type="dxa" w:w="3118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Retiro o indisponibilidad de participantes.</w:t>
            </w:r>
          </w:p>
        </w:tc>
        <w:tc>
          <w:tcPr>
            <w:tcW w:type="dxa" w:w="850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Media</w:t>
            </w:r>
          </w:p>
        </w:tc>
        <w:tc>
          <w:tcPr>
            <w:tcW w:type="dxa" w:w="907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Medio</w:t>
            </w:r>
          </w:p>
        </w:tc>
        <w:tc>
          <w:tcPr>
            <w:tcW w:type="dxa" w:w="794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Medio</w:t>
            </w:r>
          </w:p>
        </w:tc>
        <w:tc>
          <w:tcPr>
            <w:tcW w:type="dxa" w:w="7937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Agenda alternativa; retiro sin presión; no sustituir con datos inventados.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9</w:t>
            </w:r>
          </w:p>
        </w:tc>
        <w:tc>
          <w:tcPr>
            <w:tcW w:type="dxa" w:w="3118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Incumplimiento del cronograma.</w:t>
            </w:r>
          </w:p>
        </w:tc>
        <w:tc>
          <w:tcPr>
            <w:tcW w:type="dxa" w:w="850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Media</w:t>
            </w:r>
          </w:p>
        </w:tc>
        <w:tc>
          <w:tcPr>
            <w:tcW w:type="dxa" w:w="907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Medio</w:t>
            </w:r>
          </w:p>
        </w:tc>
        <w:tc>
          <w:tcPr>
            <w:tcW w:type="dxa" w:w="794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Medio</w:t>
            </w:r>
          </w:p>
        </w:tc>
        <w:tc>
          <w:tcPr>
            <w:tcW w:type="dxa" w:w="7937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Reunión semanal; responsables; holgura y prioridad a tareas críticas.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10</w:t>
            </w:r>
          </w:p>
        </w:tc>
        <w:tc>
          <w:tcPr>
            <w:tcW w:type="dxa" w:w="3118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Mezcla o presentación falsa de datos sintéticos y reales.</w:t>
            </w:r>
          </w:p>
        </w:tc>
        <w:tc>
          <w:tcPr>
            <w:tcW w:type="dxa" w:w="850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Baja</w:t>
            </w:r>
          </w:p>
        </w:tc>
        <w:tc>
          <w:tcPr>
            <w:tcW w:type="dxa" w:w="907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Alto</w:t>
            </w:r>
          </w:p>
        </w:tc>
        <w:tc>
          <w:tcPr>
            <w:tcW w:type="dxa" w:w="794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Alto</w:t>
            </w:r>
          </w:p>
        </w:tc>
        <w:tc>
          <w:tcPr>
            <w:tcW w:type="dxa" w:w="7937"/>
            <w:vAlign w:val="center"/>
            <w:tcMar>
              <w:top w:w="24" w:type="dxa"/>
              <w:start w:w="35" w:type="dxa"/>
              <w:bottom w:w="24" w:type="dxa"/>
              <w:end w:w="35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3"/>
                <w:u w:val="none"/>
              </w:rPr>
              <w:t>Etiquetado de origen, trazabilidad, control de versiones y auditoría docente.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6" w:space="0" w:color="000000"/>
          <w:left w:val="nil" w:sz="6" w:space="0" w:color="000000"/>
          <w:bottom w:val="nil" w:sz="6" w:space="0" w:color="000000"/>
          <w:right w:val="nil" w:sz="6" w:space="0" w:color="000000"/>
          <w:insideH w:val="nil" w:sz="6" w:space="0" w:color="000000"/>
          <w:insideV w:val="nil" w:sz="6" w:space="0" w:color="00000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Revisó el líder: ______________________________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Fecha: __________________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Aprobó el docente: ____________________________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Fecha: __________________</w:t>
            </w:r>
          </w:p>
        </w:tc>
      </w:tr>
    </w:tbl>
    <w:p>
      <w:pPr>
        <w:spacing w:after="0"/>
      </w:pPr>
    </w:p>
    <w:sectPr w:rsidR="00FC693F" w:rsidRPr="0006063C" w:rsidSect="00034616">
      <w:pgSz w:w="16838" w:h="11906" w:orient="landscape"/>
      <w:pgMar w:top="595" w:right="567" w:bottom="595" w:left="56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3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/>
      <w:sz w:val="23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sz w:val="23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