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Asignatura: ISR-401 Ingeniería de Requisitos — 2026-2027 PPA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PROTOCOLO DE DISOCIACIÓN COMPLETA DESDE EL DISEÑO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Proyecto Fin de Curso #10: Sistema Inteligente de Control y Seguimiento de Terapia Física</w:t>
        <w:br/>
        <w:t>Categoría A — Datos sensibles de salud y biométricos | Documento adicional A1 — Privacy by Design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1. Objetivo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Definir la separación técnica y organizativa entre datos identificativos, datos de investigación, datos terapéuticos sintéticos y datos de movimiento, de manera que ninguna publicación, prototipo o conjunto de prueba permita identificar a participantes o asociar una persona real con información clínica o biométrica.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2. Alcance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Aplica a entrevistas, encuesta, observación, consentimientos, bases de prueba, modelos de datos, prototipos, repositorio, componente de visión por computadora, reportes y publicaciones. El diseño parte de la prohibición de utilizar pacientes reales, historias clínicas, diagnósticos e imágenes clínicas reales.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3. Clasificación y separación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3969"/>
        <w:gridCol w:w="1701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Zona / repositorio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Contenido permitido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Identificador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Acceso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Z1 — Identidad y consentimiento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Nombre, firma, contacto, autorización de audio o captura propia.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ID-CONS-XX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Docente y líder; cifrado; no se publica.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Z2 — Investigación disociada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Transcripciones resumidas, notas y respuestas vinculadas solo a código.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ENT-FT-XX / ENC-XX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Equipo y docente; cifrado.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Z3 — Datos terapéuticos de prueba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Nueve personas-tipo, rutinas, evaluaciones y alertas completamente ficticias.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PT-01 a PT-09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Equipo; artefactos publicables tras revisión.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Z4 — Movimiento e imágenes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Datasets públicos licenciados o capturas de integrantes adultos con consentimiento específico; preferencia por puntos corporales y métricas.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MOV-XX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Responsable técnico y docente; archivo temporal.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Z5 — Publicación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Estadísticas agregadas, requisitos, modelos, prototipos y datos sintéticos.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Sin clave de identidad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Acceso público después de revisión.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4. Controles de privacidad desde el diseño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Minimización: solo se recoge información necesaria para elicitar y validar requisitos.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Seudonimización inmediata: cada participante recibe un código; la tabla de correspondencia se guarda separada.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Separación lógica y física: identidad, investigación, datos sintéticos e imágenes se mantienen en carpetas o bases distintas.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Acceso por roles: líder/documental para consentimientos; analista para datos disociados; responsable técnico para datasets de prueba; docente con supervisión integral.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Cifrado en reposo y tránsito, autenticación individual y revisión periódica de permisos.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Privacidad por defecto: cámara desactivada hasta obtener consentimiento; no se guarda video por defecto; no se habilita reconocimiento facial.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Retención limitada y eliminación segura conforme al DMP.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Registro de cambios y auditoría de quién crea, accede, exporta o elimina datos protegidos.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5. Modelo lógico de referencia y campos sensibles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38"/>
        <w:gridCol w:w="3402"/>
        <w:gridCol w:w="4365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Entidad / grupo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Campos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Tratamiento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Participante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código, rol general, consentimiento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La identidad real se mantiene en Z1; el código se usa en Z2.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Usuario ficticio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nombre ficticio, edad sintética, contacto ficticio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Solo personas-tipo; marcado como sintético.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Evaluación sintética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dolor, movilidad, antecedentes simulados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No corresponde a persona real; no se combina con Z1/Z2.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Sesión de movimiento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puntos corporales, ángulos, conteos, errores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Sin rostro ni identificador biométrico; eliminación de medios crudos.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Audio de entrevista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voz y contenido</w:t>
            </w:r>
          </w:p>
        </w:tc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Solo con autorización; no se publica; transcripción disociada.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6. Flujo de disociación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 Recibir consentimiento y asignar código.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 Capturar únicamente datos autorizados.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 Transferir el contenido a la zona disociada y retirar identificadores directos.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 Revisar identificadores indirectos y generalizar detalles singulares.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 Separar o destruir medios crudos que ya no sean necesarios.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6. Realizar revisión cruzada por dos integrantes.</w:t>
      </w:r>
    </w:p>
    <w:p>
      <w:pPr>
        <w:widowControl/>
        <w:spacing w:before="0" w:after="50" w:line="240" w:lineRule="auto"/>
        <w:ind w:left="142" w:hanging="142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7. Obtener autorización del docente antes de publicar o compartir.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7. Verificación previa a publicación o demostración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957"/>
        <w:gridCol w:w="1134"/>
      </w:tblGrid>
      <w:tr>
        <w:trPr>
          <w:cantSplit/>
          <w:tblHeader w:val="true"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Control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Cumple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existen nombres, cédulas, teléfonos, correos ni firmas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existen historias clínicas, diagnósticos o imágenes de pacientes reales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existen rostros, voces o videos no autorizados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Los casos de prueba corresponden a personas-tipo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Los códigos no permiten reidentificación pública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La combinación de variables fue revisada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Dos integrantes realizaron revisión cruzada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El docente autorizó la publicación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Responsable técnico: 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Responsable documental: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Líder: _____________________________________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Docente: 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