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Asignatura: ISR-401 Ingeniería de Requisitos — 2026-2027 PPA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PROTOCOLO DE MANEJO DE IMÁGENES CLÍNICAS Y BIOMÉTRICAS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Proyecto Fin de Curso #10: Sistema Inteligente de Control y Seguimiento de Terapia Física</w:t>
        <w:br/>
        <w:t>Categoría A — Datos sensibles de salud y biométricos | Documento adicional A5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1. Objetivo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Establecer reglas para cualquier imagen, video, audio o dato corporal utilizado en el componente de visión por computadora, de modo que se evite capturar pacientes reales, identificar personas o conservar material innecesario.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2. Fuentes permitidas y prohibidas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Permitido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  <w:u w:val="none"/>
              </w:rPr>
              <w:t>Prohibido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Datasets públicos con licencia compatible y documentación de origen.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Fotografías, radiografías, videos o historias clínicas de pacientes reales.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Capturas de integrantes adultos del equipo con consentimiento específico y revocable.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Capturas en centros de fisioterapia, áreas clínicas, consultas o espacios con usuarios.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Videos sintéticos, animaciones, avatares y personas-tipo.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Reconocimiento facial, identificación por voz, marcha o rasgos biométricos.</w:t>
            </w:r>
          </w:p>
        </w:tc>
      </w:tr>
      <w:tr>
        <w:trPr>
          <w:cantSplit/>
        </w:trPr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Coordenadas de puntos corporales, ángulos y conteos disociados.</w:t>
            </w:r>
          </w:p>
        </w:tc>
        <w:tc>
          <w:tcPr>
            <w:tcW w:type="dxa" w:w="5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  <w:u w:val="none"/>
              </w:rPr>
              <w:t>Publicación de medios crudos con rostro, voz, tatuajes, fondo o metadatos identificables.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3. Consentimiento específico para capturas propias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 consentimiento general de entrevista no autoriza capturas corporales. Antes de cada sesión se informará finalidad, ejercicio, dispositivo, duración, datos derivados, plazo de conservación, riesgos, derecho a detener la grabación y mecanismo de revocación. La cámara permanecerá desactivada hasta registrar la autorización. No se ofrecerá compensación ni se ejercerá presión académica.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4. Procedimiento de captura segura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Preparar un entorno privado, neutro y sin terceros, documentos, pantallas, logotipos o elementos identificables.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Configurar encuadre por debajo del rostro cuando sea técnicamente posible; desactivar ubicación y metadatos innecesarios.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Asignar un código MOV-XX y no usar el nombre en el archivo.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Procesar localmente o en entorno controlado; evitar servicios que reutilicen el material para entrenamiento.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Extraer puntos corporales, ángulos, conteos o métricas necesarias.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Verificar que los datos derivados no permitan reconocimiento facial o identificación.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Eliminar el video o imagen cruda al completar la verificación o dentro del plazo máximo autorizado.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Registrar fecha de eliminación, responsable y hash o referencia del archivo cuando corresponda.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5. Enmascaramiento y publicación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Recortar o difuminar rostro, placas, documentos, pantallas, tatuajes u otros elementos identificables.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Eliminar audio cuando no sea necesario.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Retirar metadatos EXIF, ubicación y nombre del dispositivo.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Publicar preferentemente esqueletos, puntos, gráficos o capturas sintéticas en lugar de medios reales.</w:t>
      </w:r>
    </w:p>
    <w:p>
      <w:pPr>
        <w:pStyle w:val="ListBullet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No publicar ejemplos propios sin nueva revisión y autorización expresa para difusión.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6. Seguridad y retención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Los medios crudos se almacenarán temporalmente en carpeta cifrada con acceso del responsable técnico y el docente. No se enviarán por mensajería personal ni se copiarán a dispositivos no cifrados. Los datos derivados se conservarán solo si son necesarios y están disociados. La retención máxima general es de 24 meses, pero los medios crudos se eliminarán tan pronto termine su función técnica.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7. Gestión de incidentes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Si una captura incluye a una persona no autorizada, un paciente, un rostro no previsto, una pantalla con datos reales o cualquier material clínico, se detendrá el procesamiento, se aislará el archivo, se notificará al docente y se eliminará de forma segura dentro de 24 horas. El evento quedará registrado y no se sustituirá con una edición que oculte el origen indebido.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8. Lista de verificación previa a usar o publicar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957"/>
        <w:gridCol w:w="1134"/>
      </w:tblGrid>
      <w:tr>
        <w:trPr>
          <w:cantSplit/>
          <w:tblHeader w:val="true"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Control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Cumple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Fuente y licencia documentadas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Consentimiento específico vigente cuando la captura es propia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hay pacientes, menores ni terceros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hay rostro, voz, fondo o metadatos identificables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No se realiza reconocimiento facial o identificación biométrica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El medio crudo tiene fecha de eliminación definida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Dos integrantes revisaron el material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  <w:tr>
        <w:trPr>
          <w:cantSplit/>
        </w:trPr>
        <w:tc>
          <w:tcPr>
            <w:tcW w:type="dxa" w:w="89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El docente autorizó su uso o publicación</w:t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☐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Responsable técnico: 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Docente responsable: ______________________________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Fecha: __________________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