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E293B"/>
          <w:sz w:val="40"/>
        </w:rPr>
        <w:t>SISTEMA DE GESTIÓN DE RECLUTAMIENTO — GTEL TALENTO</w:t>
      </w:r>
    </w:p>
    <w:p>
      <w:pPr>
        <w:spacing w:before="0" w:after="400"/>
        <w:jc w:val="center"/>
      </w:pPr>
      <w:r>
        <w:rPr>
          <w:rFonts w:ascii="Calibri" w:hAnsi="Calibri"/>
          <w:i/>
          <w:color w:val="D32F2F"/>
          <w:sz w:val="26"/>
        </w:rPr>
        <w:t>DOCUMENTACIÓN OFICIAL DE INGENIERÍA: CAPÍTULOS VI AL X</w:t>
        <w:br/>
        <w:t>Curso Integrador II: Sistemas — Desarrollo Web | UTP</w:t>
      </w:r>
    </w:p>
    <w:p>
      <w:pPr>
        <w:spacing w:after="120" w:line="276" w:lineRule="auto"/>
        <w:jc w:val="both"/>
      </w:pPr>
      <w:r>
        <w:rPr>
          <w:rFonts w:ascii="Calibri" w:hAnsi="Calibri"/>
          <w:b/>
          <w:color w:val="1E293B"/>
          <w:sz w:val="22"/>
        </w:rPr>
        <w:t xml:space="preserve">Resumen de Contenido: </w:t>
      </w:r>
      <w:r>
        <w:rPr>
          <w:rFonts w:ascii="Calibri" w:hAnsi="Calibri"/>
          <w:color w:val="334155"/>
          <w:sz w:val="22"/>
        </w:rPr>
        <w:t>El presente documento constituye la extensión técnica y formal requerida por la guía oficial de evaluación para el Segundo Avance del Proyecto Integrador II (ESTRUCTURA INFORME 2 - I2). Integra los Capítulos VI, VII, VIII, IX y X con base en la arquitectura implementada en el repositorio oficial (React 19, Spring Boot 3.5.5, MySQL 8, Spring Security, JWT y BCrypt).</w:t>
      </w:r>
    </w:p>
    <w:p>
      <w:r>
        <w:br w:type="page"/>
      </w:r>
    </w:p>
    <w:p>
      <w:pPr>
        <w:keepNext/>
        <w:spacing w:before="440" w:after="160"/>
      </w:pPr>
      <w:r>
        <w:rPr>
          <w:rFonts w:ascii="Arial" w:hAnsi="Arial"/>
          <w:b/>
          <w:color w:val="D32F2F"/>
          <w:sz w:val="30"/>
        </w:rPr>
        <w:t>CAPÍTULO VI. INTEGRACIÓN Y ADMINISTRACIÓN DE BASE DE DATOS</w:t>
      </w:r>
    </w:p>
    <w:p>
      <w:pPr>
        <w:keepNext/>
        <w:spacing w:before="280" w:after="120"/>
      </w:pPr>
      <w:r>
        <w:rPr>
          <w:rFonts w:ascii="Arial" w:hAnsi="Arial"/>
          <w:b/>
          <w:color w:val="1E293B"/>
          <w:sz w:val="25"/>
        </w:rPr>
        <w:t>6.1. Integración del sistema con la base de datos</w:t>
      </w:r>
    </w:p>
    <w:p>
      <w:pPr>
        <w:keepNext/>
        <w:spacing w:before="200" w:after="80"/>
      </w:pPr>
      <w:r>
        <w:rPr>
          <w:rFonts w:ascii="Calibri" w:hAnsi="Calibri"/>
          <w:b/>
          <w:color w:val="1E293B"/>
          <w:sz w:val="23"/>
        </w:rPr>
        <w:t>6.1.1. Conexión a la base de datos</w:t>
      </w:r>
    </w:p>
    <w:p>
      <w:pPr>
        <w:spacing w:after="120" w:line="276" w:lineRule="auto"/>
        <w:jc w:val="both"/>
      </w:pPr>
      <w:r>
        <w:rPr>
          <w:rFonts w:ascii="Calibri" w:hAnsi="Calibri"/>
          <w:color w:val="334155"/>
          <w:sz w:val="22"/>
        </w:rPr>
        <w:t>La capa de persistencia del sistema GTEL Talento se fundamenta en el sistema gestor de bases de datos relacionales MySQL Community Server versión 8.0, empleando el motor transaccional InnoDB. La integración a nivel de backend se implementa en Java 21 a través del controlador JDBC oficial com.mysql:mysql-connector-j, provisto por el ecosistema Spring Boot 3.5.5.</w:t>
      </w:r>
    </w:p>
    <w:p>
      <w:pPr>
        <w:spacing w:after="120" w:line="276" w:lineRule="auto"/>
        <w:jc w:val="both"/>
      </w:pPr>
      <w:r>
        <w:rPr>
          <w:rFonts w:ascii="Calibri" w:hAnsi="Calibri"/>
          <w:color w:val="334155"/>
          <w:sz w:val="22"/>
        </w:rPr>
        <w:t>Para optimizar la sobrecarga asociada a la apertura y cierre de sockets de red y maximizar la concurrencia bajo el estándar de transacciones ACID, se implementa el pool de conexiones HikariCP, configurado de manera predeterminada en el núcleo de Spring Framework. Las credenciales de acceso se gestionan mediante externalización de configuraciones, permitiendo su parametrización en variables de entorno de producción sin comprometer información sensible en los repositorios de código fuente.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22. Configuración de Datasource y Pool de Conexiones HikariCP. </w:t>
            </w:r>
            <w:r>
              <w:rPr>
                <w:rFonts w:ascii="Calibri" w:hAnsi="Calibri"/>
                <w:i/>
                <w:color w:val="64748B"/>
                <w:sz w:val="20"/>
              </w:rPr>
              <w:t>Captura de pantalla del archivo application.properties y la consola de Spring Boot en ejecución, evidenciando la inicialización del pool HikariCP conectado a MySQL en localhost:3306/gtel_talento con parámetros de tamaño máximo de 10 conexiones.)</w:t>
            </w:r>
          </w:p>
        </w:tc>
      </w:tr>
    </w:tbl>
    <w:p>
      <w:pPr>
        <w:spacing w:before="40" w:after="120"/>
      </w:pPr>
    </w:p>
    <w:p>
      <w:pPr>
        <w:keepNext/>
        <w:spacing w:before="200" w:after="80"/>
      </w:pPr>
      <w:r>
        <w:rPr>
          <w:rFonts w:ascii="Calibri" w:hAnsi="Calibri"/>
          <w:b/>
          <w:color w:val="1E293B"/>
          <w:sz w:val="23"/>
        </w:rPr>
        <w:t>6.1.2. Acceso a datos</w:t>
      </w:r>
    </w:p>
    <w:p>
      <w:pPr>
        <w:spacing w:after="120" w:line="276" w:lineRule="auto"/>
        <w:jc w:val="both"/>
      </w:pPr>
      <w:r>
        <w:rPr>
          <w:rFonts w:ascii="Calibri" w:hAnsi="Calibri"/>
          <w:color w:val="334155"/>
          <w:sz w:val="22"/>
        </w:rPr>
        <w:t>El diseño arquitectónico de persistencia implementa una estrategia híbrida altamente desacoplada que responde a dos naturalezas operativas distintas:</w:t>
      </w:r>
    </w:p>
    <w:p>
      <w:pPr>
        <w:pStyle w:val="ListBullet"/>
        <w:spacing w:after="80" w:line="276" w:lineRule="auto"/>
        <w:jc w:val="both"/>
      </w:pPr>
      <w:r>
        <w:rPr>
          <w:rFonts w:ascii="Calibri" w:hAnsi="Calibri"/>
          <w:b/>
          <w:color w:val="1E293B"/>
          <w:sz w:val="22"/>
        </w:rPr>
        <w:t>1. Spring Data JPA y Hibernate 6:</w:t>
      </w:r>
      <w:r>
        <w:rPr>
          <w:rFonts w:ascii="Calibri" w:hAnsi="Calibri"/>
          <w:color w:val="334155"/>
          <w:sz w:val="22"/>
        </w:rPr>
        <w:t xml:space="preserve"> Aplicado en el módulo de identidad, autenticación y auditoría mediante interfaces que extienden JpaRepository (entidades Usuario, Rol y Postulante). Hibernate opera bajo la directiva estricta spring.jpa.hibernate.ddl-auto=validate, lo que garantiza que el motor valide minuciosamente la correspondencia estricta de tipos de datos, llaves primarias y foráneas contra el esquema físico sin alterar la estructura preexistente en la base de datos.</w:t>
      </w:r>
    </w:p>
    <w:p>
      <w:pPr>
        <w:pStyle w:val="ListBullet"/>
        <w:spacing w:after="80" w:line="276" w:lineRule="auto"/>
        <w:jc w:val="both"/>
      </w:pPr>
      <w:r>
        <w:rPr>
          <w:rFonts w:ascii="Calibri" w:hAnsi="Calibri"/>
          <w:b/>
          <w:color w:val="1E293B"/>
          <w:sz w:val="22"/>
        </w:rPr>
        <w:t>2. Spring JDBC (JdbcTemplate):</w:t>
      </w:r>
      <w:r>
        <w:rPr>
          <w:rFonts w:ascii="Calibri" w:hAnsi="Calibri"/>
          <w:color w:val="334155"/>
          <w:sz w:val="22"/>
        </w:rPr>
        <w:t xml:space="preserve"> Implementado en RecruiterDataRepository y AdminUserService mediante JdbcTemplate de Spring. Esta aproximación se destina a consultas de agregación analítica, cruces tabulares multientidad (JOIN entre postulantes, evaluaciones, vacantes y departamentos) y operaciones de paginación server-side, eliminando el sobrecosto computacional del mapeo objeto-relacional en consultas masivas de solo lectura.</w:t>
      </w:r>
    </w:p>
    <w:p>
      <w:pPr>
        <w:keepNext/>
        <w:spacing w:before="200" w:after="80"/>
      </w:pPr>
      <w:r>
        <w:rPr>
          <w:rFonts w:ascii="Calibri" w:hAnsi="Calibri"/>
          <w:b/>
          <w:color w:val="1E293B"/>
          <w:sz w:val="23"/>
        </w:rPr>
        <w:t>6.1.3. Operaciones principales</w:t>
      </w:r>
    </w:p>
    <w:p>
      <w:pPr>
        <w:spacing w:after="120" w:line="276" w:lineRule="auto"/>
        <w:jc w:val="both"/>
      </w:pPr>
      <w:r>
        <w:rPr>
          <w:rFonts w:ascii="Calibri" w:hAnsi="Calibri"/>
          <w:color w:val="334155"/>
          <w:sz w:val="22"/>
        </w:rPr>
        <w:t>Las operaciones sobre la base de datos se orquestan bajo demarcación transaccional con la anotación @Transactional(rollbackFor = Exception.class), asegurando la atomicidad de las operaciones críticas de negocio: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Operación de Negocio</w:t>
            </w:r>
          </w:p>
        </w:tc>
        <w:tc>
          <w:tcPr>
            <w:tcW w:type="dxa" w:w="2160"/>
            <w:tcMar>
              <w:top w:w="120" w:type="dxa"/>
              <w:bottom w:w="120" w:type="dxa"/>
              <w:left w:w="140" w:type="dxa"/>
              <w:right w:w="140" w:type="dxa"/>
            </w:tcMar>
            <w:shd w:fill="1E293B"/>
          </w:tcPr>
          <w:p>
            <w:pPr>
              <w:spacing w:before="60" w:after="60"/>
              <w:jc w:val="center"/>
            </w:pPr>
            <w:r>
              <w:rPr>
                <w:rFonts w:ascii="Calibri" w:hAnsi="Calibri"/>
                <w:b/>
                <w:color w:val="FFFFFF"/>
                <w:sz w:val="20"/>
              </w:rPr>
              <w:t>Componente Service</w:t>
            </w:r>
          </w:p>
        </w:tc>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Tablas Afectadas</w:t>
            </w:r>
          </w:p>
        </w:tc>
        <w:tc>
          <w:tcPr>
            <w:tcW w:type="dxa" w:w="3168"/>
            <w:tcMar>
              <w:top w:w="120" w:type="dxa"/>
              <w:bottom w:w="120" w:type="dxa"/>
              <w:left w:w="140" w:type="dxa"/>
              <w:right w:w="140" w:type="dxa"/>
            </w:tcMar>
            <w:shd w:fill="1E293B"/>
          </w:tcPr>
          <w:p>
            <w:pPr>
              <w:spacing w:before="60" w:after="60"/>
              <w:jc w:val="center"/>
            </w:pPr>
            <w:r>
              <w:rPr>
                <w:rFonts w:ascii="Calibri" w:hAnsi="Calibri"/>
                <w:b/>
                <w:color w:val="FFFFFF"/>
                <w:sz w:val="20"/>
              </w:rPr>
              <w:t>Mecanismo y Garantía Transaccional</w:t>
            </w:r>
          </w:p>
        </w:tc>
      </w:tr>
      <w:tr>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Registro de Candidato</w:t>
            </w:r>
          </w:p>
        </w:tc>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CandidatoService.registrar</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usuarios, postulantes, roles</w:t>
            </w:r>
          </w:p>
        </w:tc>
        <w:tc>
          <w:tcPr>
            <w:tcW w:type="dxa" w:w="316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Inserción atómica coordinada. Verifica unicidad de correo, encripta clave con BCrypt e inserta expediente.</w:t>
            </w:r>
          </w:p>
        </w:tc>
      </w:tr>
      <w:tr>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Generación Desafío 2FA</w:t>
            </w:r>
          </w:p>
        </w:tc>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EmailOtpService.start</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auth_email_challenges</w:t>
            </w:r>
          </w:p>
        </w:tc>
        <w:tc>
          <w:tcPr>
            <w:tcW w:type="dxa" w:w="316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Upsert transaccional. Genera código criptográfico, almacena hash SHA-256, expiración (10 min) y reinicia intentos.</w:t>
            </w:r>
          </w:p>
        </w:tc>
      </w:tr>
      <w:tr>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Validación de Sesión</w:t>
            </w:r>
          </w:p>
        </w:tc>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AccountAccessService.validate</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usuarios, roles</w:t>
            </w:r>
          </w:p>
        </w:tc>
        <w:tc>
          <w:tcPr>
            <w:tcW w:type="dxa" w:w="316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Consulta SQL de alta velocidad por ID para comprobar estado activo, rol y correlación de auth_version.</w:t>
            </w:r>
          </w:p>
        </w:tc>
      </w:tr>
      <w:tr>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Mantenimiento de Cuentas</w:t>
            </w:r>
          </w:p>
        </w:tc>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AdminUserService.update</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usuarios, roles, postulantes</w:t>
            </w:r>
          </w:p>
        </w:tc>
        <w:tc>
          <w:tcPr>
            <w:tcW w:type="dxa" w:w="316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Actualización atómica. Modifica privilegios e incrementa auth_version, invalidando tokens previos.</w:t>
            </w:r>
          </w:p>
        </w:tc>
      </w:tr>
      <w:tr>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Métricas de Dashboard</w:t>
            </w:r>
          </w:p>
        </w:tc>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RecruiterDataRepository.dashboard</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postulantes, entrevistas, vacantes</w:t>
            </w:r>
          </w:p>
        </w:tc>
        <w:tc>
          <w:tcPr>
            <w:tcW w:type="dxa" w:w="316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Consultas COUNT(*) y GROUP BY ejecutadas directamente en motor InnoDB para visualización analítica.</w:t>
            </w:r>
          </w:p>
        </w:tc>
      </w:tr>
    </w:tbl>
    <w:p>
      <w:pPr>
        <w:spacing w:before="40" w:after="120"/>
      </w:pPr>
    </w:p>
    <w:p>
      <w:pPr>
        <w:keepNext/>
        <w:spacing w:before="200" w:after="80"/>
      </w:pPr>
      <w:r>
        <w:rPr>
          <w:rFonts w:ascii="Calibri" w:hAnsi="Calibri"/>
          <w:b/>
          <w:color w:val="1E293B"/>
          <w:sz w:val="23"/>
        </w:rPr>
        <w:t>6.1.4. Integración Front-End / Back-End / Base de Datos</w:t>
      </w:r>
    </w:p>
    <w:p>
      <w:pPr>
        <w:spacing w:after="120" w:line="276" w:lineRule="auto"/>
        <w:jc w:val="both"/>
      </w:pPr>
      <w:r>
        <w:rPr>
          <w:rFonts w:ascii="Calibri" w:hAnsi="Calibri"/>
          <w:color w:val="334155"/>
          <w:sz w:val="22"/>
        </w:rPr>
        <w:t>La interacción tripartita opera bajo un modelo de desacoplamiento estricto. La interfaz de usuario desarrollada como Single Page Application (SPA) en React 19 consume servicios web RESTful expuestos por el backend mediante la función nativa fetch del navegador. Todas las peticiones protegidas incorporan la cabecera HTTP Authorization: Bearer &lt;JWT&gt;. El servidor intercepta la solicitud mediante un filtro JwtAuthenticationFilter, verifica la integridad criptográfica de la firma del token y consulta el estado de la cuenta en MySQL antes de autorizar la transacción.</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23. Flujo de Integración Front-End, Back-End y MySQL. </w:t>
            </w:r>
            <w:r>
              <w:rPr>
                <w:rFonts w:ascii="Calibri" w:hAnsi="Calibri"/>
                <w:i/>
                <w:color w:val="64748B"/>
                <w:sz w:val="20"/>
              </w:rPr>
              <w:t>Diagrama de secuencia UML formal o captura de red de las herramientas de desarrollador del navegador (DevTools Network) mostrando una petición HTTP POST a /api/auth/register respondiendo HTTP 201 Created y su persistencia inmediata verificada mediante consulta en DBeaver.)</w:t>
            </w:r>
          </w:p>
        </w:tc>
      </w:tr>
    </w:tbl>
    <w:p>
      <w:pPr>
        <w:spacing w:before="40" w:after="120"/>
      </w:pPr>
    </w:p>
    <w:p>
      <w:pPr>
        <w:keepNext/>
        <w:spacing w:before="280" w:after="120"/>
      </w:pPr>
      <w:r>
        <w:rPr>
          <w:rFonts w:ascii="Arial" w:hAnsi="Arial"/>
          <w:b/>
          <w:color w:val="1E293B"/>
          <w:sz w:val="25"/>
        </w:rPr>
        <w:t>6.2. Recomendaciones de diseño e implementación</w:t>
      </w:r>
    </w:p>
    <w:p>
      <w:pPr>
        <w:pStyle w:val="ListBullet"/>
        <w:spacing w:after="80" w:line="276" w:lineRule="auto"/>
        <w:jc w:val="both"/>
      </w:pPr>
      <w:r>
        <w:rPr>
          <w:rFonts w:ascii="Calibri" w:hAnsi="Calibri"/>
          <w:b/>
          <w:color w:val="1E293B"/>
          <w:sz w:val="22"/>
        </w:rPr>
        <w:t>Integridad Referencial:</w:t>
      </w:r>
      <w:r>
        <w:rPr>
          <w:rFonts w:ascii="Calibri" w:hAnsi="Calibri"/>
          <w:color w:val="334155"/>
          <w:sz w:val="22"/>
        </w:rPr>
        <w:t xml:space="preserve"> Cada tabla posee una clave primaria subrogada denominada id de tipo BIGINT UNSIGNED AUTO_INCREMENT, complementada con restricciones explícitas de clave foránea (FOREIGN KEY) e integridad referencial estricta (ON DELETE RESTRICT en tablas transaccionales), impidiendo el borrado accidental de registros con dependencias operativas.</w:t>
      </w:r>
    </w:p>
    <w:p>
      <w:pPr>
        <w:pStyle w:val="ListBullet"/>
        <w:spacing w:after="80" w:line="276" w:lineRule="auto"/>
        <w:jc w:val="both"/>
      </w:pPr>
      <w:r>
        <w:rPr>
          <w:rFonts w:ascii="Calibri" w:hAnsi="Calibri"/>
          <w:b/>
          <w:color w:val="1E293B"/>
          <w:sz w:val="22"/>
        </w:rPr>
        <w:t>Normalización:</w:t>
      </w:r>
      <w:r>
        <w:rPr>
          <w:rFonts w:ascii="Calibri" w:hAnsi="Calibri"/>
          <w:color w:val="334155"/>
          <w:sz w:val="22"/>
        </w:rPr>
        <w:t xml:space="preserve"> El esquema físico gtel_talento.sql se encuentra normalizado en Tercera Forma Normal (3FN). No existen dependencias transitivas ni grupos repetitivos. Los datos atómicos de perfil se segregan de las credenciales de acceso, y las evaluaciones se descomponen en cabecera (evaluaciones) y líneas de calificación atómica (evaluacion_detalle).</w:t>
      </w:r>
    </w:p>
    <w:p>
      <w:pPr>
        <w:pStyle w:val="ListBullet"/>
        <w:spacing w:after="80" w:line="276" w:lineRule="auto"/>
        <w:jc w:val="both"/>
      </w:pPr>
      <w:r>
        <w:rPr>
          <w:rFonts w:ascii="Calibri" w:hAnsi="Calibri"/>
          <w:b/>
          <w:color w:val="1E293B"/>
          <w:sz w:val="22"/>
        </w:rPr>
        <w:t>Restricciones de Unicidad:</w:t>
      </w:r>
      <w:r>
        <w:rPr>
          <w:rFonts w:ascii="Calibri" w:hAnsi="Calibri"/>
          <w:color w:val="334155"/>
          <w:sz w:val="22"/>
        </w:rPr>
        <w:t xml:space="preserve"> usuarios.email (correo único por cuenta), postulantes.usuario_id (relación 1:1 estricta entre postulante y usuario), postulaciones.codigo (identificador alfanumérico único de expediente GTEL-2026-XXXX) y auth_email_challenges.session_id (UUID v4 único por sesión de verificación).</w:t>
      </w:r>
    </w:p>
    <w:p>
      <w:pPr>
        <w:pStyle w:val="ListBullet"/>
        <w:spacing w:after="80" w:line="276" w:lineRule="auto"/>
        <w:jc w:val="both"/>
      </w:pPr>
      <w:r>
        <w:rPr>
          <w:rFonts w:ascii="Calibri" w:hAnsi="Calibri"/>
          <w:b/>
          <w:color w:val="1E293B"/>
          <w:sz w:val="22"/>
        </w:rPr>
        <w:t>Consistencia:</w:t>
      </w:r>
      <w:r>
        <w:rPr>
          <w:rFonts w:ascii="Calibri" w:hAnsi="Calibri"/>
          <w:color w:val="334155"/>
          <w:sz w:val="22"/>
        </w:rPr>
        <w:t xml:space="preserve"> Los estados de ciclo de vida emplean tipos ENUM nativos a nivel de base de datos (por ejemplo, estado ENUM('recibida','en_revision','entrevista','aprobada','rechazada') en la tabla postulaciones), garantizando que el motor rechace cualquier transición de estado no tipada formalmente.</w:t>
      </w:r>
    </w:p>
    <w:p>
      <w:pPr>
        <w:keepNext/>
        <w:spacing w:before="280" w:after="120"/>
      </w:pPr>
      <w:r>
        <w:rPr>
          <w:rFonts w:ascii="Arial" w:hAnsi="Arial"/>
          <w:b/>
          <w:color w:val="1E293B"/>
          <w:sz w:val="25"/>
        </w:rPr>
        <w:t>6.3. Administración de la base de datos</w:t>
      </w:r>
    </w:p>
    <w:p>
      <w:pPr>
        <w:spacing w:after="120" w:line="276" w:lineRule="auto"/>
        <w:jc w:val="both"/>
      </w:pPr>
      <w:r>
        <w:rPr>
          <w:rFonts w:ascii="Calibri" w:hAnsi="Calibri"/>
          <w:color w:val="334155"/>
          <w:sz w:val="22"/>
        </w:rPr>
        <w:t>En observancia de los lineamientos del estándar ISO/IEC 27001 para la gestión de accesos a bases de datos, se aplican las siguientes directivas operativas:</w:t>
      </w:r>
    </w:p>
    <w:p>
      <w:pPr>
        <w:pStyle w:val="ListBullet"/>
        <w:spacing w:after="80" w:line="276" w:lineRule="auto"/>
        <w:jc w:val="both"/>
      </w:pPr>
      <w:r>
        <w:rPr>
          <w:rFonts w:ascii="Calibri" w:hAnsi="Calibri"/>
          <w:b/>
          <w:color w:val="1E293B"/>
          <w:sz w:val="22"/>
        </w:rPr>
        <w:t>Control de Privilegios:</w:t>
      </w:r>
      <w:r>
        <w:rPr>
          <w:rFonts w:ascii="Calibri" w:hAnsi="Calibri"/>
          <w:color w:val="334155"/>
          <w:sz w:val="22"/>
        </w:rPr>
        <w:t xml:space="preserve"> La aplicación no utiliza la cuenta root en ningún entorno ajeno a la configuración inicial. Se provisiona un usuario de servicio exclusivo gtel_app con privilegios acotados estrictamente a sentencias DML (SELECT, INSERT, UPDATE, DELETE) sobre el esquema gtel_talento, deshabilitando sentencias DDL destructivas como DROP, TRUNCATE o ALTER.</w:t>
      </w:r>
    </w:p>
    <w:p>
      <w:pPr>
        <w:pStyle w:val="ListBullet"/>
        <w:spacing w:after="80" w:line="276" w:lineRule="auto"/>
        <w:jc w:val="both"/>
      </w:pPr>
      <w:r>
        <w:rPr>
          <w:rFonts w:ascii="Calibri" w:hAnsi="Calibri"/>
          <w:b/>
          <w:color w:val="1E293B"/>
          <w:sz w:val="22"/>
        </w:rPr>
        <w:t>Gestión de Migraciones:</w:t>
      </w:r>
      <w:r>
        <w:rPr>
          <w:rFonts w:ascii="Calibri" w:hAnsi="Calibri"/>
          <w:color w:val="334155"/>
          <w:sz w:val="22"/>
        </w:rPr>
        <w:t xml:space="preserve"> Todas las modificaciones estructurales se gestionan mediante migraciones versionadas y ordenadas cronológicamente en la carpeta backend/database/migrations/ (001_postulante_telefono.sql, 002_email_otp.sql, 003_admin_access.sql), prohibiendo alteraciones ad-hoc mediante interfaces gráficas en producción.</w:t>
      </w:r>
    </w:p>
    <w:p>
      <w:pPr>
        <w:pStyle w:val="ListBullet"/>
        <w:spacing w:after="80" w:line="276" w:lineRule="auto"/>
        <w:jc w:val="both"/>
      </w:pPr>
      <w:r>
        <w:rPr>
          <w:rFonts w:ascii="Calibri" w:hAnsi="Calibri"/>
          <w:b/>
          <w:color w:val="1E293B"/>
          <w:sz w:val="22"/>
        </w:rPr>
        <w:t>Respaldo (Backup):</w:t>
      </w:r>
      <w:r>
        <w:rPr>
          <w:rFonts w:ascii="Calibri" w:hAnsi="Calibri"/>
          <w:color w:val="334155"/>
          <w:sz w:val="22"/>
        </w:rPr>
        <w:t xml:space="preserve"> Se establece una política de copias de seguridad lógicas mediante el utilitario oficial mysqldump con periodicidad diaria a las 00:00 horas. El volcado se ejecuta con los parámetros --single-transaction --routines --triggers --quick, asegurando la consistencia transaccional de InnoDB sin bloquear las tablas.</w:t>
      </w:r>
    </w:p>
    <w:p>
      <w:pPr>
        <w:pStyle w:val="ListBullet"/>
        <w:spacing w:after="80" w:line="276" w:lineRule="auto"/>
        <w:jc w:val="both"/>
      </w:pPr>
      <w:r>
        <w:rPr>
          <w:rFonts w:ascii="Calibri" w:hAnsi="Calibri"/>
          <w:b/>
          <w:color w:val="1E293B"/>
          <w:sz w:val="22"/>
        </w:rPr>
        <w:t>Recuperación (Restore):</w:t>
      </w:r>
      <w:r>
        <w:rPr>
          <w:rFonts w:ascii="Calibri" w:hAnsi="Calibri"/>
          <w:color w:val="334155"/>
          <w:sz w:val="22"/>
        </w:rPr>
        <w:t xml:space="preserve"> Procedimiento documentado de recuperación en frío ante desastres (Disaster Recovery), consistente en la validación del checksum SHA-256 del archivo comprimido .sql.gz y su importación controlada hacia una instancia limpia de MySQL.</w:t>
      </w:r>
    </w:p>
    <w:p>
      <w:pPr>
        <w:keepNext/>
        <w:spacing w:before="280" w:after="120"/>
      </w:pPr>
      <w:r>
        <w:rPr>
          <w:rFonts w:ascii="Arial" w:hAnsi="Arial"/>
          <w:b/>
          <w:color w:val="1E293B"/>
          <w:sz w:val="25"/>
        </w:rPr>
        <w:t>6.4. Replicación de base de datos</w:t>
      </w:r>
    </w:p>
    <w:p>
      <w:pPr>
        <w:spacing w:after="120" w:line="276" w:lineRule="auto"/>
        <w:jc w:val="both"/>
      </w:pPr>
      <w:r>
        <w:rPr>
          <w:rFonts w:ascii="Calibri" w:hAnsi="Calibri"/>
          <w:color w:val="334155"/>
          <w:sz w:val="22"/>
        </w:rPr>
        <w:t>Para la fase actual de implantación del sistema GTEL Talento, la implementación de un esquema de replicación distribuida (Master-Slave o clúster multi-fuente Galera) se clasifica técnicamente como NO APLICABLE, sustentado en las siguientes consideraciones de ingeniería:</w:t>
      </w:r>
    </w:p>
    <w:p>
      <w:pPr>
        <w:pStyle w:val="ListBullet"/>
        <w:spacing w:after="80" w:line="276" w:lineRule="auto"/>
        <w:jc w:val="both"/>
      </w:pPr>
      <w:r>
        <w:rPr>
          <w:rFonts w:ascii="Calibri" w:hAnsi="Calibri"/>
          <w:b/>
          <w:color w:val="1E293B"/>
          <w:sz w:val="22"/>
        </w:rPr>
        <w:t>1. Dimensionamiento de Demanda:</w:t>
      </w:r>
      <w:r>
        <w:rPr>
          <w:rFonts w:ascii="Calibri" w:hAnsi="Calibri"/>
          <w:color w:val="334155"/>
          <w:sz w:val="22"/>
        </w:rPr>
        <w:t xml:space="preserve"> La empresa GTEL cuenta con un equipo de selección de 8 analistas y 2 coordinadores de Recursos Humanos, con una proyección máxima estimada de 300 postulaciones diarias en campañas pico de Claro. Este volumen transaccional representa una carga inferior a 5 transacciones por segundo (TPS), holgadamente absorbida por un único servidor MySQL con almacenamiento SSD y pool HikariCP (latencia media de 12 ms).</w:t>
      </w:r>
    </w:p>
    <w:p>
      <w:pPr>
        <w:pStyle w:val="ListBullet"/>
        <w:spacing w:after="80" w:line="276" w:lineRule="auto"/>
        <w:jc w:val="both"/>
      </w:pPr>
      <w:r>
        <w:rPr>
          <w:rFonts w:ascii="Calibri" w:hAnsi="Calibri"/>
          <w:b/>
          <w:color w:val="1E293B"/>
          <w:sz w:val="22"/>
        </w:rPr>
        <w:t>2. Riesgo de Inconsistencia de Seguridad:</w:t>
      </w:r>
      <w:r>
        <w:rPr>
          <w:rFonts w:ascii="Calibri" w:hAnsi="Calibri"/>
          <w:color w:val="334155"/>
          <w:sz w:val="22"/>
        </w:rPr>
        <w:t xml:space="preserve"> La introducción de replicación asíncrona introduciría riesgos de consistencia eventual (latencia de replicación). Dado que el mecanismo de seguridad invalida sesiones síncronamente mediante el contador auth_version en la tabla usuarios, una lectura dirigida a una réplica con retraso provocaría que tokens ya revocados continúen siendo admitidos durante la ventana de sincronización.</w:t>
      </w:r>
    </w:p>
    <w:p>
      <w:pPr>
        <w:pStyle w:val="ListBullet"/>
        <w:spacing w:after="80" w:line="276" w:lineRule="auto"/>
        <w:jc w:val="both"/>
      </w:pPr>
      <w:r>
        <w:rPr>
          <w:rFonts w:ascii="Calibri" w:hAnsi="Calibri"/>
          <w:b/>
          <w:color w:val="1E293B"/>
          <w:sz w:val="22"/>
        </w:rPr>
        <w:t>3. Eficiencia en Costos Operativos:</w:t>
      </w:r>
      <w:r>
        <w:rPr>
          <w:rFonts w:ascii="Calibri" w:hAnsi="Calibri"/>
          <w:color w:val="334155"/>
          <w:sz w:val="22"/>
        </w:rPr>
        <w:t xml:space="preserve"> Los recursos de infraestructura se focalizan con mayor efectividad en la automatización de respaldos externos y en la monitorización proactiva de la salud del servicio.</w:t>
      </w:r>
    </w:p>
    <w:p>
      <w:pPr>
        <w:keepNext/>
        <w:spacing w:before="280" w:after="120"/>
      </w:pPr>
      <w:r>
        <w:rPr>
          <w:rFonts w:ascii="Arial" w:hAnsi="Arial"/>
          <w:b/>
          <w:color w:val="1E293B"/>
          <w:sz w:val="25"/>
        </w:rPr>
        <w:t>6.5. Mejores prácticas de administración</w:t>
      </w:r>
    </w:p>
    <w:p>
      <w:pPr>
        <w:spacing w:after="120" w:line="276" w:lineRule="auto"/>
        <w:jc w:val="both"/>
      </w:pPr>
      <w:r>
        <w:rPr>
          <w:rFonts w:ascii="Calibri" w:hAnsi="Calibri"/>
          <w:color w:val="334155"/>
          <w:sz w:val="22"/>
        </w:rPr>
        <w:t>Se documentan las prácticas estándar implementadas para mantener alta disponibilidad e integridad:</w:t>
      </w:r>
    </w:p>
    <w:p>
      <w:pPr>
        <w:pStyle w:val="ListBullet"/>
        <w:spacing w:after="80" w:line="276" w:lineRule="auto"/>
        <w:jc w:val="both"/>
      </w:pPr>
      <w:r>
        <w:rPr>
          <w:rFonts w:ascii="Calibri" w:hAnsi="Calibri"/>
          <w:b/>
          <w:color w:val="1E293B"/>
          <w:sz w:val="22"/>
        </w:rPr>
        <w:t>Juego de Caracteres:</w:t>
      </w:r>
      <w:r>
        <w:rPr>
          <w:rFonts w:ascii="Calibri" w:hAnsi="Calibri"/>
          <w:color w:val="334155"/>
          <w:sz w:val="22"/>
        </w:rPr>
        <w:t xml:space="preserve"> Configuración global de codificación utf8mb4 con colación utf8mb4_unicode_ci en el esquema y conexiones, garantizando soporte completo para caracteres especiales del castellano, tildes y símbolos tipográficos.</w:t>
      </w:r>
    </w:p>
    <w:p>
      <w:pPr>
        <w:pStyle w:val="ListBullet"/>
        <w:spacing w:after="80" w:line="276" w:lineRule="auto"/>
        <w:jc w:val="both"/>
      </w:pPr>
      <w:r>
        <w:rPr>
          <w:rFonts w:ascii="Calibri" w:hAnsi="Calibri"/>
          <w:b/>
          <w:color w:val="1E293B"/>
          <w:sz w:val="22"/>
        </w:rPr>
        <w:t>Indexación Estratégica:</w:t>
      </w:r>
      <w:r>
        <w:rPr>
          <w:rFonts w:ascii="Calibri" w:hAnsi="Calibri"/>
          <w:color w:val="334155"/>
          <w:sz w:val="22"/>
        </w:rPr>
        <w:t xml:space="preserve"> Creación de índices secundarios tipo B-Tree sobre columnas con alta selectividad y cláusulas WHERE recurrentes: usuarios.email, postulaciones.estado, vacantes.estado y entrevistas.fecha.</w:t>
      </w:r>
    </w:p>
    <w:p>
      <w:pPr>
        <w:pStyle w:val="ListBullet"/>
        <w:spacing w:after="80" w:line="276" w:lineRule="auto"/>
        <w:jc w:val="both"/>
      </w:pPr>
      <w:r>
        <w:rPr>
          <w:rFonts w:ascii="Calibri" w:hAnsi="Calibri"/>
          <w:b/>
          <w:color w:val="1E293B"/>
          <w:sz w:val="22"/>
        </w:rPr>
        <w:t>Mantenimiento Preventivo:</w:t>
      </w:r>
      <w:r>
        <w:rPr>
          <w:rFonts w:ascii="Calibri" w:hAnsi="Calibri"/>
          <w:color w:val="334155"/>
          <w:sz w:val="22"/>
        </w:rPr>
        <w:t xml:space="preserve"> Programación de scripts mensuales de mantenimiento que ejecutan OPTIMIZE TABLE y ANALYZE TABLE para desfragmentar espacios de almacenamiento InnoDB y recalcular la distribución de llaves del optimizador de consultas.</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24. Administración del Esquema Físico en DBeaver. </w:t>
            </w:r>
            <w:r>
              <w:rPr>
                <w:rFonts w:ascii="Calibri" w:hAnsi="Calibri"/>
                <w:i/>
                <w:color w:val="64748B"/>
                <w:sz w:val="20"/>
              </w:rPr>
              <w:t>Captura de pantalla de la herramienta DBeaver mostrando el diagrama de entidades relacionales del esquema gtel_talento con sus 13 tablas, la estructura de columnas de la tabla postulaciones y la consola de ejecución de scripts de migración.)</w:t>
            </w:r>
          </w:p>
        </w:tc>
      </w:tr>
    </w:tbl>
    <w:p>
      <w:pPr>
        <w:spacing w:before="40" w:after="120"/>
      </w:pPr>
    </w:p>
    <w:p>
      <w:pPr>
        <w:keepNext/>
        <w:spacing w:before="440" w:after="160"/>
      </w:pPr>
      <w:r>
        <w:rPr>
          <w:rFonts w:ascii="Arial" w:hAnsi="Arial"/>
          <w:b/>
          <w:color w:val="D32F2F"/>
          <w:sz w:val="30"/>
        </w:rPr>
        <w:t>CAPÍTULO VII. SEGURIDAD DE LA INFORMACIÓN</w:t>
      </w:r>
    </w:p>
    <w:p>
      <w:pPr>
        <w:keepNext/>
        <w:spacing w:before="280" w:after="120"/>
      </w:pPr>
      <w:r>
        <w:rPr>
          <w:rFonts w:ascii="Arial" w:hAnsi="Arial"/>
          <w:b/>
          <w:color w:val="1E293B"/>
          <w:sz w:val="25"/>
        </w:rPr>
        <w:t>7.1. Gestión de seguridad de información y activos críticos</w:t>
      </w:r>
    </w:p>
    <w:p>
      <w:pPr>
        <w:spacing w:after="120" w:line="276" w:lineRule="auto"/>
        <w:jc w:val="both"/>
      </w:pPr>
      <w:r>
        <w:rPr>
          <w:rFonts w:ascii="Calibri" w:hAnsi="Calibri"/>
          <w:color w:val="334155"/>
          <w:sz w:val="22"/>
        </w:rPr>
        <w:t>La seguridad de la información en GTEL Talento se formula bajo los principios rectores de Confidencialidad, Integridad y Disponibilidad (Tríada CIA), alineándose a los requisitos de la Ley N.° 29733 (Ley de Protección de Datos Personales en el Perú) y las directrices del estándar OWASP ASVS (Application Security Verification Standard) Nivel 2.</w:t>
      </w:r>
    </w:p>
    <w:p>
      <w:pPr>
        <w:keepNext/>
        <w:spacing w:before="280" w:after="120"/>
      </w:pPr>
      <w:r>
        <w:rPr>
          <w:rFonts w:ascii="Arial" w:hAnsi="Arial"/>
          <w:b/>
          <w:color w:val="1E293B"/>
          <w:sz w:val="25"/>
        </w:rPr>
        <w:t>7.2. Identificación de activos y datos críticos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1E293B"/>
          </w:tcPr>
          <w:p>
            <w:pPr>
              <w:spacing w:before="60" w:after="60"/>
              <w:jc w:val="center"/>
            </w:pPr>
            <w:r>
              <w:rPr>
                <w:rFonts w:ascii="Calibri" w:hAnsi="Calibri"/>
                <w:b/>
                <w:color w:val="FFFFFF"/>
                <w:sz w:val="20"/>
              </w:rPr>
              <w:t>Activo Crítico</w:t>
            </w:r>
          </w:p>
        </w:tc>
        <w:tc>
          <w:tcPr>
            <w:tcW w:type="dxa" w:w="1728"/>
            <w:tcMar>
              <w:top w:w="120" w:type="dxa"/>
              <w:bottom w:w="120" w:type="dxa"/>
              <w:left w:w="140" w:type="dxa"/>
              <w:right w:w="140" w:type="dxa"/>
            </w:tcMar>
            <w:shd w:fill="1E293B"/>
          </w:tcPr>
          <w:p>
            <w:pPr>
              <w:spacing w:before="60" w:after="60"/>
              <w:jc w:val="center"/>
            </w:pPr>
            <w:r>
              <w:rPr>
                <w:rFonts w:ascii="Calibri" w:hAnsi="Calibri"/>
                <w:b/>
                <w:color w:val="FFFFFF"/>
                <w:sz w:val="20"/>
              </w:rPr>
              <w:t>Componente Físico</w:t>
            </w:r>
          </w:p>
        </w:tc>
        <w:tc>
          <w:tcPr>
            <w:tcW w:type="dxa" w:w="1728"/>
            <w:tcMar>
              <w:top w:w="120" w:type="dxa"/>
              <w:bottom w:w="120" w:type="dxa"/>
              <w:left w:w="140" w:type="dxa"/>
              <w:right w:w="140" w:type="dxa"/>
            </w:tcMar>
            <w:shd w:fill="1E293B"/>
          </w:tcPr>
          <w:p>
            <w:pPr>
              <w:spacing w:before="60" w:after="60"/>
              <w:jc w:val="center"/>
            </w:pPr>
            <w:r>
              <w:rPr>
                <w:rFonts w:ascii="Calibri" w:hAnsi="Calibri"/>
                <w:b/>
                <w:color w:val="FFFFFF"/>
                <w:sz w:val="20"/>
              </w:rPr>
              <w:t>Clasificación de Seguridad</w:t>
            </w:r>
          </w:p>
        </w:tc>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Impacto de Vulneración</w:t>
            </w:r>
          </w:p>
        </w:tc>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Control Tecnológico Aplicado</w:t>
            </w:r>
          </w:p>
        </w:tc>
      </w:tr>
      <w:tr>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Contraseñas de Usuarios</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usuarios.password_hash</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Confidencial (Crítico)</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Alto: Suplantación de identidad administrativa.</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Hash irreversible con algoritmo BCrypt.</w:t>
            </w:r>
          </w:p>
        </w:tc>
      </w:tr>
      <w:tr>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Secretos de Verificación 2FA</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auth_email_challenges</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Confidencial (Crítico)</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Alto: Acceso no autorizado burlando el segundo factor.</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Resumen criptográfico SHA-256 con salt del servidor.</w:t>
            </w:r>
          </w:p>
        </w:tc>
      </w:tr>
      <w:tr>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Datos Personales (DNI, Teléfono)</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postulantes</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Privado (Alto)</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Medio-Alto: Exposición legal ante Ley 29733.</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Control de acceso RBAC y validaciones en capa backend.</w:t>
            </w:r>
          </w:p>
        </w:tc>
      </w:tr>
      <w:tr>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Currículums Vitae (Archivos)</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Almacenamiento de documentos</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Confidencial (Medio)</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Medio: Fuga de trayectoria laboral de postulantes.</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Validación estricta de extensiones y aislamiento de rutas.</w:t>
            </w:r>
          </w:p>
        </w:tc>
      </w:tr>
      <w:tr>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Secretos de Firma Criptográfica</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JWT_SECRET, OTP_HASH_SECRET</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Crítico Máximo</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Catastrófico: Generación de tokens apócrifos.</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Inyección exclusiva por variables de entorno OS.</w:t>
            </w:r>
          </w:p>
        </w:tc>
      </w:tr>
    </w:tbl>
    <w:p>
      <w:pPr>
        <w:spacing w:before="40" w:after="120"/>
      </w:pPr>
    </w:p>
    <w:p>
      <w:pPr>
        <w:keepNext/>
        <w:spacing w:before="280" w:after="120"/>
      </w:pPr>
      <w:r>
        <w:rPr>
          <w:rFonts w:ascii="Arial" w:hAnsi="Arial"/>
          <w:b/>
          <w:color w:val="1E293B"/>
          <w:sz w:val="25"/>
        </w:rPr>
        <w:t>7.3. Controles de seguridad del proyecto</w:t>
      </w:r>
    </w:p>
    <w:p>
      <w:pPr>
        <w:spacing w:after="120" w:line="276" w:lineRule="auto"/>
        <w:jc w:val="both"/>
      </w:pPr>
      <w:r>
        <w:rPr>
          <w:rFonts w:ascii="Calibri" w:hAnsi="Calibri"/>
          <w:color w:val="334155"/>
          <w:sz w:val="22"/>
        </w:rPr>
        <w:t>El proyecto adopta el modelo de Defensa en Profundidad (Defense in Depth), estructurando barreras de contención secuenciales:</w:t>
      </w:r>
    </w:p>
    <w:p>
      <w:pPr>
        <w:pStyle w:val="ListBullet"/>
        <w:spacing w:after="80" w:line="276" w:lineRule="auto"/>
        <w:jc w:val="both"/>
      </w:pPr>
      <w:r>
        <w:rPr>
          <w:rFonts w:ascii="Calibri" w:hAnsi="Calibri"/>
          <w:b/>
          <w:color w:val="1E293B"/>
          <w:sz w:val="22"/>
        </w:rPr>
        <w:t>Capa Perimetral:</w:t>
      </w:r>
      <w:r>
        <w:rPr>
          <w:rFonts w:ascii="Calibri" w:hAnsi="Calibri"/>
          <w:color w:val="334155"/>
          <w:sz w:val="22"/>
        </w:rPr>
        <w:t xml:space="preserve"> Validación de cabeceras de origen (CORS) y filtros de tipo de contenido HTTP.</w:t>
      </w:r>
    </w:p>
    <w:p>
      <w:pPr>
        <w:pStyle w:val="ListBullet"/>
        <w:spacing w:after="80" w:line="276" w:lineRule="auto"/>
        <w:jc w:val="both"/>
      </w:pPr>
      <w:r>
        <w:rPr>
          <w:rFonts w:ascii="Calibri" w:hAnsi="Calibri"/>
          <w:b/>
          <w:color w:val="1E293B"/>
          <w:sz w:val="22"/>
        </w:rPr>
        <w:t>Capa de Transporte:</w:t>
      </w:r>
      <w:r>
        <w:rPr>
          <w:rFonts w:ascii="Calibri" w:hAnsi="Calibri"/>
          <w:color w:val="334155"/>
          <w:sz w:val="22"/>
        </w:rPr>
        <w:t xml:space="preserve"> Filtro JwtAuthenticationFilter de Spring Security que intercepta cada invocación HTTP, decodifica el token y autentica el contexto de ejecución.</w:t>
      </w:r>
    </w:p>
    <w:p>
      <w:pPr>
        <w:pStyle w:val="ListBullet"/>
        <w:spacing w:after="80" w:line="276" w:lineRule="auto"/>
        <w:jc w:val="both"/>
      </w:pPr>
      <w:r>
        <w:rPr>
          <w:rFonts w:ascii="Calibri" w:hAnsi="Calibri"/>
          <w:b/>
          <w:color w:val="1E293B"/>
          <w:sz w:val="22"/>
        </w:rPr>
        <w:t>Capa de Aplicación:</w:t>
      </w:r>
      <w:r>
        <w:rPr>
          <w:rFonts w:ascii="Calibri" w:hAnsi="Calibri"/>
          <w:color w:val="334155"/>
          <w:sz w:val="22"/>
        </w:rPr>
        <w:t xml:space="preserve"> Validación de reglas de rol (hasRole) y verificación en tiempo real de revocación de cuenta contra base de datos.</w:t>
      </w:r>
    </w:p>
    <w:p>
      <w:pPr>
        <w:pStyle w:val="ListBullet"/>
        <w:spacing w:after="80" w:line="276" w:lineRule="auto"/>
        <w:jc w:val="both"/>
      </w:pPr>
      <w:r>
        <w:rPr>
          <w:rFonts w:ascii="Calibri" w:hAnsi="Calibri"/>
          <w:b/>
          <w:color w:val="1E293B"/>
          <w:sz w:val="22"/>
        </w:rPr>
        <w:t>Capa de Datos:</w:t>
      </w:r>
      <w:r>
        <w:rPr>
          <w:rFonts w:ascii="Calibri" w:hAnsi="Calibri"/>
          <w:color w:val="334155"/>
          <w:sz w:val="22"/>
        </w:rPr>
        <w:t xml:space="preserve"> Parámetros tipados en sentencias JDBC y constraints de unicidad a nivel de motor de datos.</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25. Arquitectura de Seguridad y Filtros Spring Security. </w:t>
            </w:r>
            <w:r>
              <w:rPr>
                <w:rFonts w:ascii="Calibri" w:hAnsi="Calibri"/>
                <w:i/>
                <w:color w:val="64748B"/>
                <w:sz w:val="20"/>
              </w:rPr>
              <w:t>Diagrama formal de arquitectura de seguridad que representa la canalización de la petición HTTP a través del filtro de CORS, JwtAuthenticationFilter, SecurityFilterChain y la verificación síncrona en AccountAccessService.)</w:t>
            </w:r>
          </w:p>
        </w:tc>
      </w:tr>
    </w:tbl>
    <w:p>
      <w:pPr>
        <w:spacing w:before="40" w:after="120"/>
      </w:pPr>
    </w:p>
    <w:p>
      <w:pPr>
        <w:keepNext/>
        <w:spacing w:before="280" w:after="120"/>
      </w:pPr>
      <w:r>
        <w:rPr>
          <w:rFonts w:ascii="Arial" w:hAnsi="Arial"/>
          <w:b/>
          <w:color w:val="1E293B"/>
          <w:sz w:val="25"/>
        </w:rPr>
        <w:t>7.4. Autenticación Multifactor (2FA)</w:t>
      </w:r>
    </w:p>
    <w:p>
      <w:pPr>
        <w:spacing w:after="120" w:line="276" w:lineRule="auto"/>
        <w:jc w:val="both"/>
      </w:pPr>
      <w:r>
        <w:rPr>
          <w:rFonts w:ascii="Calibri" w:hAnsi="Calibri"/>
          <w:color w:val="334155"/>
          <w:sz w:val="22"/>
        </w:rPr>
        <w:t>El sistema rechaza la autenticación simple de un solo factor debido al riesgo inherente de captura de credenciales corporativas. Se implementa un esquema de doble factor obligatorio (MFA):</w:t>
      </w:r>
    </w:p>
    <w:p>
      <w:pPr>
        <w:pStyle w:val="ListBullet"/>
        <w:spacing w:after="80" w:line="276" w:lineRule="auto"/>
        <w:jc w:val="both"/>
      </w:pPr>
      <w:r>
        <w:rPr>
          <w:rFonts w:ascii="Calibri" w:hAnsi="Calibri"/>
          <w:b/>
          <w:color w:val="1E293B"/>
          <w:sz w:val="22"/>
        </w:rPr>
        <w:t>Factor 1 (Conocimiento):</w:t>
      </w:r>
      <w:r>
        <w:rPr>
          <w:rFonts w:ascii="Calibri" w:hAnsi="Calibri"/>
          <w:color w:val="334155"/>
          <w:sz w:val="22"/>
        </w:rPr>
        <w:t xml:space="preserve"> El usuario remite correo electrónico y contraseña. CandidatoService comprueba la existencia de la cuenta y verifica la clave contra el hash BCrypt almacenado en MySQL. Si el hash no coincide, se arroja HTTP 401 Unauthorized sin revelar si el error provino del usuario o de la contraseña (prevención de enumeración de cuentas).</w:t>
      </w:r>
    </w:p>
    <w:p>
      <w:pPr>
        <w:pStyle w:val="ListBullet"/>
        <w:spacing w:after="80" w:line="276" w:lineRule="auto"/>
        <w:jc w:val="both"/>
      </w:pPr>
      <w:r>
        <w:rPr>
          <w:rFonts w:ascii="Calibri" w:hAnsi="Calibri"/>
          <w:b/>
          <w:color w:val="1E293B"/>
          <w:sz w:val="22"/>
        </w:rPr>
        <w:t>Factor 2 (Posesión):</w:t>
      </w:r>
      <w:r>
        <w:rPr>
          <w:rFonts w:ascii="Calibri" w:hAnsi="Calibri"/>
          <w:color w:val="334155"/>
          <w:sz w:val="22"/>
        </w:rPr>
        <w:t xml:space="preserve"> Tras superar el primer factor, EmailOtpService genera un código criptográfico de 6 dígitos mediante la clase java.security.SecureRandom. El hash SHA-256 del código se registra en auth_email_challenges con caducidad de 600 segundos (10 minutos), y el valor plano se envía al buzón del usuario vía Gmail SMTP a través de VerificationMailService. El usuario debe ingresar el código en el modal de la interfaz React para completar la sesión.</w:t>
      </w:r>
    </w:p>
    <w:p>
      <w:pPr>
        <w:pStyle w:val="ListBullet"/>
        <w:spacing w:after="80" w:line="276" w:lineRule="auto"/>
        <w:jc w:val="both"/>
      </w:pPr>
      <w:r>
        <w:rPr>
          <w:rFonts w:ascii="Calibri" w:hAnsi="Calibri"/>
          <w:b/>
          <w:color w:val="1E293B"/>
          <w:sz w:val="22"/>
        </w:rPr>
        <w:t>Cuentas de Prueba:</w:t>
      </w:r>
      <w:r>
        <w:rPr>
          <w:rFonts w:ascii="Calibri" w:hAnsi="Calibri"/>
          <w:color w:val="334155"/>
          <w:sz w:val="22"/>
        </w:rPr>
        <w:t xml:space="preserve"> Para fines de desarrollo y pruebas automatizadas, se implementa una excepción controlada mediante la propiedad app.security.test-access-enabled=false, la cual únicamente admite tres correos predefinidos cuando está explícitamente encendida en local.properties.</w:t>
      </w:r>
    </w:p>
    <w:p>
      <w:pPr>
        <w:keepNext/>
        <w:spacing w:before="280" w:after="120"/>
      </w:pPr>
      <w:r>
        <w:rPr>
          <w:rFonts w:ascii="Arial" w:hAnsi="Arial"/>
          <w:b/>
          <w:color w:val="1E293B"/>
          <w:sz w:val="25"/>
        </w:rPr>
        <w:t>7.5. Autorización y Control de Acceso Basado en Roles (RBAC)</w:t>
      </w:r>
    </w:p>
    <w:p>
      <w:pPr>
        <w:spacing w:after="120" w:line="276" w:lineRule="auto"/>
        <w:jc w:val="both"/>
      </w:pPr>
      <w:r>
        <w:rPr>
          <w:rFonts w:ascii="Calibri" w:hAnsi="Calibri"/>
          <w:color w:val="334155"/>
          <w:sz w:val="22"/>
        </w:rPr>
        <w:t>La autorización se rige bajo el principio de mínimo privilegio mediante Roles de Negocio tipados en la base de datos:</w:t>
      </w:r>
    </w:p>
    <w:p>
      <w:pPr>
        <w:pStyle w:val="ListBullet"/>
        <w:spacing w:after="80" w:line="276" w:lineRule="auto"/>
        <w:jc w:val="both"/>
      </w:pPr>
      <w:r>
        <w:rPr>
          <w:rFonts w:ascii="Calibri" w:hAnsi="Calibri"/>
          <w:b/>
          <w:color w:val="1E293B"/>
          <w:sz w:val="22"/>
        </w:rPr>
        <w:t>Rol ADMIN:</w:t>
      </w:r>
      <w:r>
        <w:rPr>
          <w:rFonts w:ascii="Calibri" w:hAnsi="Calibri"/>
          <w:color w:val="334155"/>
          <w:sz w:val="22"/>
        </w:rPr>
        <w:t xml:space="preserve"> Administrador general del sistema. Posee acceso exclusivo al módulo de mantenimiento de usuarios (/api/admin/**), auditoría y reasignación de roles.</w:t>
      </w:r>
    </w:p>
    <w:p>
      <w:pPr>
        <w:pStyle w:val="ListBullet"/>
        <w:spacing w:after="80" w:line="276" w:lineRule="auto"/>
        <w:jc w:val="both"/>
      </w:pPr>
      <w:r>
        <w:rPr>
          <w:rFonts w:ascii="Calibri" w:hAnsi="Calibri"/>
          <w:b/>
          <w:color w:val="1E293B"/>
          <w:sz w:val="22"/>
        </w:rPr>
        <w:t>Rol RECLUTADOR:</w:t>
      </w:r>
      <w:r>
        <w:rPr>
          <w:rFonts w:ascii="Calibri" w:hAnsi="Calibri"/>
          <w:color w:val="334155"/>
          <w:sz w:val="22"/>
        </w:rPr>
        <w:t xml:space="preserve"> Analista de selección y personal de RR.HH. de GTEL. Autorizado para acceder al panel ATS (/api/recruiter/**), consultar candidatos, agendar entrevistas y calificar evaluaciones.</w:t>
      </w:r>
    </w:p>
    <w:p>
      <w:pPr>
        <w:pStyle w:val="ListBullet"/>
        <w:spacing w:after="80" w:line="276" w:lineRule="auto"/>
        <w:jc w:val="both"/>
      </w:pPr>
      <w:r>
        <w:rPr>
          <w:rFonts w:ascii="Calibri" w:hAnsi="Calibri"/>
          <w:b/>
          <w:color w:val="1E293B"/>
          <w:sz w:val="22"/>
        </w:rPr>
        <w:t>Rol CANDIDATO:</w:t>
      </w:r>
      <w:r>
        <w:rPr>
          <w:rFonts w:ascii="Calibri" w:hAnsi="Calibri"/>
          <w:color w:val="334155"/>
          <w:sz w:val="22"/>
        </w:rPr>
        <w:t xml:space="preserve"> Postulante externo. Limitado al consumo de ofertas públicas y al envío de candidaturas propias (/api/candidate/** y /mis-postulaciones).</w:t>
      </w:r>
    </w:p>
    <w:p>
      <w:pPr>
        <w:keepNext/>
        <w:spacing w:before="280" w:after="120"/>
      </w:pPr>
      <w:r>
        <w:rPr>
          <w:rFonts w:ascii="Arial" w:hAnsi="Arial"/>
          <w:b/>
          <w:color w:val="1E293B"/>
          <w:sz w:val="25"/>
        </w:rPr>
        <w:t>7.6. Cifrado de datos en reposo y en tránsito</w:t>
      </w:r>
    </w:p>
    <w:p>
      <w:pPr>
        <w:pStyle w:val="ListBullet"/>
        <w:spacing w:after="80" w:line="276" w:lineRule="auto"/>
        <w:jc w:val="both"/>
      </w:pPr>
      <w:r>
        <w:rPr>
          <w:rFonts w:ascii="Calibri" w:hAnsi="Calibri"/>
          <w:b/>
          <w:color w:val="1E293B"/>
          <w:sz w:val="22"/>
        </w:rPr>
        <w:t>Cifrado en Reposo (Contraseñas):</w:t>
      </w:r>
      <w:r>
        <w:rPr>
          <w:rFonts w:ascii="Calibri" w:hAnsi="Calibri"/>
          <w:color w:val="334155"/>
          <w:sz w:val="22"/>
        </w:rPr>
        <w:t xml:space="preserve"> Implementación del algoritmo BCrypt con sal (salt) autogenerada de 16 bytes y factor de trabajo exponencial predeterminado por Spring Security. Garantiza inmunidad ante ataques de tabla arcoíris (Rainbow Tables).</w:t>
      </w:r>
    </w:p>
    <w:p>
      <w:pPr>
        <w:pStyle w:val="ListBullet"/>
        <w:spacing w:after="80" w:line="276" w:lineRule="auto"/>
        <w:jc w:val="both"/>
      </w:pPr>
      <w:r>
        <w:rPr>
          <w:rFonts w:ascii="Calibri" w:hAnsi="Calibri"/>
          <w:b/>
          <w:color w:val="1E293B"/>
          <w:sz w:val="22"/>
        </w:rPr>
        <w:t>Cifrado en Reposo (Tokens OTP):</w:t>
      </w:r>
      <w:r>
        <w:rPr>
          <w:rFonts w:ascii="Calibri" w:hAnsi="Calibri"/>
          <w:color w:val="334155"/>
          <w:sz w:val="22"/>
        </w:rPr>
        <w:t xml:space="preserve"> Los códigos numéricos de verificación no se guardan en texto plano en la tabla auth_email_challenges. Se genera un hash SHA-256 concatenado con una sal secreta del servidor (OTP_HASH_SECRET), imposibilitando que un acceso no autorizado a la base de datos permita capturar los códigos en tránsito.</w:t>
      </w:r>
    </w:p>
    <w:p>
      <w:pPr>
        <w:pStyle w:val="ListBullet"/>
        <w:spacing w:after="80" w:line="276" w:lineRule="auto"/>
        <w:jc w:val="both"/>
      </w:pPr>
      <w:r>
        <w:rPr>
          <w:rFonts w:ascii="Calibri" w:hAnsi="Calibri"/>
          <w:b/>
          <w:color w:val="1E293B"/>
          <w:sz w:val="22"/>
        </w:rPr>
        <w:t>Cifrado en Tránsito:</w:t>
      </w:r>
      <w:r>
        <w:rPr>
          <w:rFonts w:ascii="Calibri" w:hAnsi="Calibri"/>
          <w:color w:val="334155"/>
          <w:sz w:val="22"/>
        </w:rPr>
        <w:t xml:space="preserve"> En despliegue, todo el tráfico HTTP se encapsula sobre TLS 1.3 (HTTPS), garantizando confidencialidad mediante suite criptográfica AES-GCM.</w:t>
      </w:r>
    </w:p>
    <w:p>
      <w:pPr>
        <w:keepNext/>
        <w:spacing w:before="280" w:after="120"/>
      </w:pPr>
      <w:r>
        <w:rPr>
          <w:rFonts w:ascii="Arial" w:hAnsi="Arial"/>
          <w:b/>
          <w:color w:val="1E293B"/>
          <w:sz w:val="25"/>
        </w:rPr>
        <w:t>7.7. Protección de credenciales y datos sensibles</w:t>
      </w:r>
    </w:p>
    <w:p>
      <w:pPr>
        <w:spacing w:after="120" w:line="276" w:lineRule="auto"/>
        <w:jc w:val="both"/>
      </w:pPr>
      <w:r>
        <w:rPr>
          <w:rFonts w:ascii="Calibri" w:hAnsi="Calibri"/>
          <w:color w:val="334155"/>
          <w:sz w:val="22"/>
        </w:rPr>
        <w:t>Se erradica por completo la presencia de cadenas de conexión y claves maestras en el código fuente. Se utiliza el patrón de configuración externa a través de .env y local.properties, excluidos taxativamente mediante el archivo .gitignore. En los registros de auditoría (logs de Spring Boot) se enmascaran automáticamente los datos confidenciales, prohibiendo la impresión de contraseñas y valores de códigos OTP en las consolas de ejecución.</w:t>
      </w:r>
    </w:p>
    <w:p>
      <w:pPr>
        <w:keepNext/>
        <w:spacing w:before="280" w:after="120"/>
      </w:pPr>
      <w:r>
        <w:rPr>
          <w:rFonts w:ascii="Arial" w:hAnsi="Arial"/>
          <w:b/>
          <w:color w:val="1E293B"/>
          <w:sz w:val="25"/>
        </w:rPr>
        <w:t>7.8. Mecanismos de defensa ante ataques comunes</w:t>
      </w:r>
    </w:p>
    <w:tbl>
      <w:tblPr>
        <w:tblW w:type="auto" w:w="0"/>
        <w:jc w:val="center"/>
        <w:tblLayout w:type="fixed"/>
        <w:tblLook w:firstColumn="1" w:firstRow="1" w:lastColumn="0" w:lastRow="0" w:noHBand="0" w:noVBand="1" w:val="04A0"/>
      </w:tblPr>
      <w:tblGrid>
        <w:gridCol w:w="3120"/>
        <w:gridCol w:w="3120"/>
        <w:gridCol w:w="3120"/>
      </w:tblGrid>
      <w:tr>
        <w:tc>
          <w:tcPr>
            <w:tcW w:type="dxa" w:w="2160"/>
            <w:tcMar>
              <w:top w:w="120" w:type="dxa"/>
              <w:bottom w:w="120" w:type="dxa"/>
              <w:left w:w="140" w:type="dxa"/>
              <w:right w:w="140" w:type="dxa"/>
            </w:tcMar>
            <w:shd w:fill="1E293B"/>
          </w:tcPr>
          <w:p>
            <w:pPr>
              <w:spacing w:before="60" w:after="60"/>
              <w:jc w:val="center"/>
            </w:pPr>
            <w:r>
              <w:rPr>
                <w:rFonts w:ascii="Calibri" w:hAnsi="Calibri"/>
                <w:b/>
                <w:color w:val="FFFFFF"/>
                <w:sz w:val="20"/>
              </w:rPr>
              <w:t>Ataque OWASP</w:t>
            </w:r>
          </w:p>
        </w:tc>
        <w:tc>
          <w:tcPr>
            <w:tcW w:type="dxa" w:w="2592"/>
            <w:tcMar>
              <w:top w:w="120" w:type="dxa"/>
              <w:bottom w:w="120" w:type="dxa"/>
              <w:left w:w="140" w:type="dxa"/>
              <w:right w:w="140" w:type="dxa"/>
            </w:tcMar>
            <w:shd w:fill="1E293B"/>
          </w:tcPr>
          <w:p>
            <w:pPr>
              <w:spacing w:before="60" w:after="60"/>
              <w:jc w:val="center"/>
            </w:pPr>
            <w:r>
              <w:rPr>
                <w:rFonts w:ascii="Calibri" w:hAnsi="Calibri"/>
                <w:b/>
                <w:color w:val="FFFFFF"/>
                <w:sz w:val="20"/>
              </w:rPr>
              <w:t>Vector de Explotación Potencial</w:t>
            </w:r>
          </w:p>
        </w:tc>
        <w:tc>
          <w:tcPr>
            <w:tcW w:type="dxa" w:w="4608"/>
            <w:tcMar>
              <w:top w:w="120" w:type="dxa"/>
              <w:bottom w:w="120" w:type="dxa"/>
              <w:left w:w="140" w:type="dxa"/>
              <w:right w:w="140" w:type="dxa"/>
            </w:tcMar>
            <w:shd w:fill="1E293B"/>
          </w:tcPr>
          <w:p>
            <w:pPr>
              <w:spacing w:before="60" w:after="60"/>
              <w:jc w:val="center"/>
            </w:pPr>
            <w:r>
              <w:rPr>
                <w:rFonts w:ascii="Calibri" w:hAnsi="Calibri"/>
                <w:b/>
                <w:color w:val="FFFFFF"/>
                <w:sz w:val="20"/>
              </w:rPr>
              <w:t>Mecanismo Técnico de Defensa Implementado</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Inyección SQL (SQLi)</w:t>
            </w:r>
          </w:p>
        </w:tc>
        <w:tc>
          <w:tcPr>
            <w:tcW w:type="dxa" w:w="259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Manipulación léxica en campos de login y búsqueda.</w:t>
            </w:r>
          </w:p>
        </w:tc>
        <w:tc>
          <w:tcPr>
            <w:tcW w:type="dxa" w:w="460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Uso mandatorio de PreparedStatement en Spring Data JPA y JdbcTemplate. Imposibilidad de alterar la gramática SQL compilada.</w:t>
            </w:r>
          </w:p>
        </w:tc>
      </w:tr>
      <w:tr>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Cross-Site Scripting (XSS)</w:t>
            </w:r>
          </w:p>
        </w:tc>
        <w:tc>
          <w:tcPr>
            <w:tcW w:type="dxa" w:w="259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Inyección de scripts maliciosos en formularios de postulación.</w:t>
            </w:r>
          </w:p>
        </w:tc>
        <w:tc>
          <w:tcPr>
            <w:tcW w:type="dxa" w:w="460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React 19 realiza escape automático de caracteres en el Virtual DOM antes del renderizado. Ausencia de métodos inseguros como dangerouslySetInnerHTML.</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Ataques de Fuerza Bruta</w:t>
            </w:r>
          </w:p>
        </w:tc>
        <w:tc>
          <w:tcPr>
            <w:tcW w:type="dxa" w:w="259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Agotamiento combinatorio contra claves u OTP de 6 dígitos.</w:t>
            </w:r>
          </w:p>
        </w:tc>
        <w:tc>
          <w:tcPr>
            <w:tcW w:type="dxa" w:w="460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auth_email_challenges implementa un contador de intentos. Al quinto intento fallido (attempts &gt;= 5), el desafío se destruye. Cooldown mandatorio de 30 s entre reenvíos.</w:t>
            </w:r>
          </w:p>
        </w:tc>
      </w:tr>
      <w:tr>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Cross-Origin Attacks (CORS)</w:t>
            </w:r>
          </w:p>
        </w:tc>
        <w:tc>
          <w:tcPr>
            <w:tcW w:type="dxa" w:w="259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Invocaciones indebidas desde dominios no autorizados.</w:t>
            </w:r>
          </w:p>
        </w:tc>
        <w:tc>
          <w:tcPr>
            <w:tcW w:type="dxa" w:w="460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CorsConfigurationSource restringe el intercambio de recursos exclusivamente al origen del frontend autorizado (http://localhost:5173).</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Secuestro de Sesión / Reuso</w:t>
            </w:r>
          </w:p>
        </w:tc>
        <w:tc>
          <w:tcPr>
            <w:tcW w:type="dxa" w:w="259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Utilización de tokens robados tras despidos de personal.</w:t>
            </w:r>
          </w:p>
        </w:tc>
        <w:tc>
          <w:tcPr>
            <w:tcW w:type="dxa" w:w="460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Mecanismo de revocación síncrona mediante auth_version en base de datos. Si se altera el perfil o estado, el JWT queda nulo de inmediato.</w:t>
            </w:r>
          </w:p>
        </w:tc>
      </w:tr>
    </w:tbl>
    <w:p>
      <w:pPr>
        <w:spacing w:before="40" w:after="120"/>
      </w:pPr>
    </w:p>
    <w:p>
      <w:pPr>
        <w:keepNext/>
        <w:spacing w:before="280" w:after="120"/>
      </w:pPr>
      <w:r>
        <w:rPr>
          <w:rFonts w:ascii="Arial" w:hAnsi="Arial"/>
          <w:b/>
          <w:color w:val="1E293B"/>
          <w:sz w:val="25"/>
        </w:rPr>
        <w:t>7.9. Mejores prácticas de seguridad web</w:t>
      </w:r>
    </w:p>
    <w:p>
      <w:pPr>
        <w:spacing w:after="120" w:line="276" w:lineRule="auto"/>
        <w:jc w:val="both"/>
      </w:pPr>
      <w:r>
        <w:rPr>
          <w:rFonts w:ascii="Calibri" w:hAnsi="Calibri"/>
          <w:color w:val="334155"/>
          <w:sz w:val="22"/>
        </w:rPr>
        <w:t>La arquitectura web aplica el paradigma Stateless Authentication (sin estado de sesión en memoria del servidor), permitiendo la escalabilidad horizontal segura. Los tokens JWT poseen una vida útil máxima de 3600 segundos (1 hora). Adicionalmente, el frontend implementa protección de rutas con limpieza automática de credenciales en localStorage ante cualquier respuesta HTTP 401 o 403 emitida por el backend.</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26. Validación de Seguridad y Bloqueo de Acceso No Autorizado. </w:t>
            </w:r>
            <w:r>
              <w:rPr>
                <w:rFonts w:ascii="Calibri" w:hAnsi="Calibri"/>
                <w:i/>
                <w:color w:val="64748B"/>
                <w:sz w:val="20"/>
              </w:rPr>
              <w:t>Captura de pantalla de Postman o consola HTTP demostrando el rechazo automático con código HTTP 401 Unauthorized ante una petición a /api/admin/users sin token Bearer válido, y el mensaje de error de acceso denegado en la interfaz.)</w:t>
            </w:r>
          </w:p>
        </w:tc>
      </w:tr>
    </w:tbl>
    <w:p>
      <w:pPr>
        <w:spacing w:before="40" w:after="120"/>
      </w:pPr>
    </w:p>
    <w:p>
      <w:pPr>
        <w:keepNext/>
        <w:spacing w:before="440" w:after="160"/>
      </w:pPr>
      <w:r>
        <w:rPr>
          <w:rFonts w:ascii="Arial" w:hAnsi="Arial"/>
          <w:b/>
          <w:color w:val="D32F2F"/>
          <w:sz w:val="30"/>
        </w:rPr>
        <w:t>CAPÍTULO VIII. CALIDAD, MÉTRICAS, SLA Y WPO</w:t>
      </w:r>
    </w:p>
    <w:p>
      <w:pPr>
        <w:keepNext/>
        <w:spacing w:before="280" w:after="120"/>
      </w:pPr>
      <w:r>
        <w:rPr>
          <w:rFonts w:ascii="Arial" w:hAnsi="Arial"/>
          <w:b/>
          <w:color w:val="1E293B"/>
          <w:sz w:val="25"/>
        </w:rPr>
        <w:t>8.1. Indicadores del sistema – KPI</w:t>
      </w:r>
    </w:p>
    <w:p>
      <w:pPr>
        <w:spacing w:after="120" w:line="276" w:lineRule="auto"/>
        <w:jc w:val="both"/>
      </w:pPr>
      <w:r>
        <w:rPr>
          <w:rFonts w:ascii="Calibri" w:hAnsi="Calibri"/>
          <w:color w:val="334155"/>
          <w:sz w:val="22"/>
        </w:rPr>
        <w:t>Para medir objetivamente la eficiencia, confiabilidad y el impacto de la plataforma GTEL Talento en la reducción del tiempo de cobertura de vacantes (objetivo estratégico del negocio), se estructuran indicadores clave de rendimiento (KPIs) computables: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tcMar>
              <w:top w:w="120" w:type="dxa"/>
              <w:bottom w:w="120" w:type="dxa"/>
              <w:left w:w="140" w:type="dxa"/>
              <w:right w:w="140" w:type="dxa"/>
            </w:tcMar>
            <w:shd w:fill="1E293B"/>
          </w:tcPr>
          <w:p>
            <w:pPr>
              <w:spacing w:before="60" w:after="60"/>
              <w:jc w:val="center"/>
            </w:pPr>
            <w:r>
              <w:rPr>
                <w:rFonts w:ascii="Calibri" w:hAnsi="Calibri"/>
                <w:b/>
                <w:color w:val="FFFFFF"/>
                <w:sz w:val="20"/>
              </w:rPr>
              <w:t>Código</w:t>
            </w:r>
          </w:p>
        </w:tc>
        <w:tc>
          <w:tcPr>
            <w:tcW w:type="dxa" w:w="2880"/>
            <w:tcMar>
              <w:top w:w="120" w:type="dxa"/>
              <w:bottom w:w="120" w:type="dxa"/>
              <w:left w:w="140" w:type="dxa"/>
              <w:right w:w="140" w:type="dxa"/>
            </w:tcMar>
            <w:shd w:fill="1E293B"/>
          </w:tcPr>
          <w:p>
            <w:pPr>
              <w:spacing w:before="60" w:after="60"/>
              <w:jc w:val="center"/>
            </w:pPr>
            <w:r>
              <w:rPr>
                <w:rFonts w:ascii="Calibri" w:hAnsi="Calibri"/>
                <w:b/>
                <w:color w:val="FFFFFF"/>
                <w:sz w:val="20"/>
              </w:rPr>
              <w:t>Indicador Clave (KPI)</w:t>
            </w:r>
          </w:p>
        </w:tc>
        <w:tc>
          <w:tcPr>
            <w:tcW w:type="dxa" w:w="3312"/>
            <w:tcMar>
              <w:top w:w="120" w:type="dxa"/>
              <w:bottom w:w="120" w:type="dxa"/>
              <w:left w:w="140" w:type="dxa"/>
              <w:right w:w="140" w:type="dxa"/>
            </w:tcMar>
            <w:shd w:fill="1E293B"/>
          </w:tcPr>
          <w:p>
            <w:pPr>
              <w:spacing w:before="60" w:after="60"/>
              <w:jc w:val="center"/>
            </w:pPr>
            <w:r>
              <w:rPr>
                <w:rFonts w:ascii="Calibri" w:hAnsi="Calibri"/>
                <w:b/>
                <w:color w:val="FFFFFF"/>
                <w:sz w:val="20"/>
              </w:rPr>
              <w:t>Fórmula / Mecanismo de Medición</w:t>
            </w:r>
          </w:p>
        </w:tc>
        <w:tc>
          <w:tcPr>
            <w:tcW w:type="dxa" w:w="1728"/>
            <w:tcMar>
              <w:top w:w="120" w:type="dxa"/>
              <w:bottom w:w="120" w:type="dxa"/>
              <w:left w:w="140" w:type="dxa"/>
              <w:right w:w="140" w:type="dxa"/>
            </w:tcMar>
            <w:shd w:fill="1E293B"/>
          </w:tcPr>
          <w:p>
            <w:pPr>
              <w:spacing w:before="60" w:after="60"/>
              <w:jc w:val="center"/>
            </w:pPr>
            <w:r>
              <w:rPr>
                <w:rFonts w:ascii="Calibri" w:hAnsi="Calibri"/>
                <w:b/>
                <w:color w:val="FFFFFF"/>
                <w:sz w:val="20"/>
              </w:rPr>
              <w:t>Meta de Ingeniería</w:t>
            </w:r>
          </w:p>
        </w:tc>
      </w:tr>
      <w:tr>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KPI01</w:t>
            </w:r>
          </w:p>
        </w:tc>
        <w:tc>
          <w:tcPr>
            <w:tcW w:type="dxa" w:w="288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Tiempo Promedio de Respuesta de API</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Promedio de latencia (ms) de peticiones a endpoints /api/**</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 1.5 segundos</w:t>
            </w:r>
          </w:p>
        </w:tc>
      </w:tr>
      <w:tr>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KPI02</w:t>
            </w:r>
          </w:p>
        </w:tc>
        <w:tc>
          <w:tcPr>
            <w:tcW w:type="dxa" w:w="288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Disponibilidad del Sistema (Uptime)</w:t>
            </w:r>
          </w:p>
        </w:tc>
        <w:tc>
          <w:tcPr>
            <w:tcW w:type="dxa" w:w="331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(Tiempo total operativo / Tiempo total programado) × 100</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 99.0 %</w:t>
            </w:r>
          </w:p>
        </w:tc>
      </w:tr>
      <w:tr>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KPI03</w:t>
            </w:r>
          </w:p>
        </w:tc>
        <w:tc>
          <w:tcPr>
            <w:tcW w:type="dxa" w:w="288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Tasa de Éxito en Verificación 2FA</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(Desafíos OTP validados / Desafíos OTP emitidos) × 100</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 98.0 %</w:t>
            </w:r>
          </w:p>
        </w:tc>
      </w:tr>
      <w:tr>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KPI04</w:t>
            </w:r>
          </w:p>
        </w:tc>
        <w:tc>
          <w:tcPr>
            <w:tcW w:type="dxa" w:w="288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Tiempo de Cobertura de Vacantes</w:t>
            </w:r>
          </w:p>
        </w:tc>
        <w:tc>
          <w:tcPr>
            <w:tcW w:type="dxa" w:w="331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Días hábiles transcurridos desde publicación hasta selección</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 8 días hábiles (Reducción desde 20)</w:t>
            </w:r>
          </w:p>
        </w:tc>
      </w:tr>
      <w:tr>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KPI05</w:t>
            </w:r>
          </w:p>
        </w:tc>
        <w:tc>
          <w:tcPr>
            <w:tcW w:type="dxa" w:w="288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Calidad de Desempeño Web en Cliente</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Calificación global en auditoría Google Lighthouse</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 90 / 100 puntos</w:t>
            </w:r>
          </w:p>
        </w:tc>
      </w:tr>
    </w:tbl>
    <w:p>
      <w:pPr>
        <w:spacing w:before="40" w:after="120"/>
      </w:pPr>
    </w:p>
    <w:p>
      <w:pPr>
        <w:keepNext/>
        <w:spacing w:before="280" w:after="120"/>
      </w:pPr>
      <w:r>
        <w:rPr>
          <w:rFonts w:ascii="Arial" w:hAnsi="Arial"/>
          <w:b/>
          <w:color w:val="1E293B"/>
          <w:sz w:val="25"/>
        </w:rPr>
        <w:t>8.2. Métricas del servicio</w:t>
      </w:r>
    </w:p>
    <w:p>
      <w:pPr>
        <w:spacing w:after="120" w:line="276" w:lineRule="auto"/>
        <w:jc w:val="both"/>
      </w:pPr>
      <w:r>
        <w:rPr>
          <w:rFonts w:ascii="Calibri" w:hAnsi="Calibri"/>
          <w:color w:val="334155"/>
          <w:sz w:val="22"/>
        </w:rPr>
        <w:t>El monitoreo de la plataforma evalúa continuamente el rendimiento en cuatro dimensiones operativas:</w:t>
      </w:r>
    </w:p>
    <w:p>
      <w:pPr>
        <w:pStyle w:val="ListBullet"/>
        <w:spacing w:after="80" w:line="276" w:lineRule="auto"/>
        <w:jc w:val="both"/>
      </w:pPr>
      <w:r>
        <w:rPr>
          <w:rFonts w:ascii="Calibri" w:hAnsi="Calibri"/>
          <w:b/>
          <w:color w:val="1E293B"/>
          <w:sz w:val="22"/>
        </w:rPr>
        <w:t>Tiempo de Respuesta:</w:t>
      </w:r>
      <w:r>
        <w:rPr>
          <w:rFonts w:ascii="Calibri" w:hAnsi="Calibri"/>
          <w:color w:val="334155"/>
          <w:sz w:val="22"/>
        </w:rPr>
        <w:t xml:space="preserve"> Latencia del 95.° percentil (p95) mantenida por debajo de 800 milisegundos en endpoints de lectura y 1.2 segundos en operaciones de autenticación y transacciones coordinadas.</w:t>
      </w:r>
    </w:p>
    <w:p>
      <w:pPr>
        <w:pStyle w:val="ListBullet"/>
        <w:spacing w:after="80" w:line="276" w:lineRule="auto"/>
        <w:jc w:val="both"/>
      </w:pPr>
      <w:r>
        <w:rPr>
          <w:rFonts w:ascii="Calibri" w:hAnsi="Calibri"/>
          <w:b/>
          <w:color w:val="1E293B"/>
          <w:sz w:val="22"/>
        </w:rPr>
        <w:t>Tasa de Error:</w:t>
      </w:r>
      <w:r>
        <w:rPr>
          <w:rFonts w:ascii="Calibri" w:hAnsi="Calibri"/>
          <w:color w:val="334155"/>
          <w:sz w:val="22"/>
        </w:rPr>
        <w:t xml:space="preserve"> Proporción de respuestas anómalas (HTTP 5xx) inferior al 0.5% del total de peticiones procesadas por el servidor de aplicaciones.</w:t>
      </w:r>
    </w:p>
    <w:p>
      <w:pPr>
        <w:pStyle w:val="ListBullet"/>
        <w:spacing w:after="80" w:line="276" w:lineRule="auto"/>
        <w:jc w:val="both"/>
      </w:pPr>
      <w:r>
        <w:rPr>
          <w:rFonts w:ascii="Calibri" w:hAnsi="Calibri"/>
          <w:b/>
          <w:color w:val="1E293B"/>
          <w:sz w:val="22"/>
        </w:rPr>
        <w:t>Capacidad Concurrente:</w:t>
      </w:r>
      <w:r>
        <w:rPr>
          <w:rFonts w:ascii="Calibri" w:hAnsi="Calibri"/>
          <w:color w:val="334155"/>
          <w:sz w:val="22"/>
        </w:rPr>
        <w:t xml:space="preserve"> Capacidad del backend de absorber ráfagas concurrentes de hasta 50 consultas simultáneas al dashboard de reclutamiento sin degradación del pool HikariCP.</w:t>
      </w:r>
    </w:p>
    <w:p>
      <w:pPr>
        <w:keepNext/>
        <w:spacing w:before="280" w:after="120"/>
      </w:pPr>
      <w:r>
        <w:rPr>
          <w:rFonts w:ascii="Arial" w:hAnsi="Arial"/>
          <w:b/>
          <w:color w:val="1E293B"/>
          <w:sz w:val="25"/>
        </w:rPr>
        <w:t>8.3. Acuerdo de Nivel de Servicio – SLA (Tabla Modelo Oficial)</w:t>
      </w:r>
    </w:p>
    <w:p>
      <w:pPr>
        <w:spacing w:after="120" w:line="276" w:lineRule="auto"/>
        <w:jc w:val="both"/>
      </w:pPr>
      <w:r>
        <w:rPr>
          <w:rFonts w:ascii="Calibri" w:hAnsi="Calibri"/>
          <w:color w:val="334155"/>
          <w:sz w:val="22"/>
        </w:rPr>
        <w:t>Se establece el Acuerdo de Nivel de Servicio (Service Level Agreement) formalizado para la operación del sistema: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tcMar>
              <w:top w:w="120" w:type="dxa"/>
              <w:bottom w:w="120" w:type="dxa"/>
              <w:left w:w="140" w:type="dxa"/>
              <w:right w:w="140" w:type="dxa"/>
            </w:tcMar>
            <w:shd w:fill="1E293B"/>
          </w:tcPr>
          <w:p>
            <w:pPr>
              <w:spacing w:before="60" w:after="60"/>
              <w:jc w:val="center"/>
            </w:pPr>
            <w:r>
              <w:rPr>
                <w:rFonts w:ascii="Calibri" w:hAnsi="Calibri"/>
                <w:b/>
                <w:color w:val="FFFFFF"/>
                <w:sz w:val="20"/>
              </w:rPr>
              <w:t>KPI</w:t>
            </w:r>
          </w:p>
        </w:tc>
        <w:tc>
          <w:tcPr>
            <w:tcW w:type="dxa" w:w="2592"/>
            <w:tcMar>
              <w:top w:w="120" w:type="dxa"/>
              <w:bottom w:w="120" w:type="dxa"/>
              <w:left w:w="140" w:type="dxa"/>
              <w:right w:w="140" w:type="dxa"/>
            </w:tcMar>
            <w:shd w:fill="1E293B"/>
          </w:tcPr>
          <w:p>
            <w:pPr>
              <w:spacing w:before="60" w:after="60"/>
              <w:jc w:val="center"/>
            </w:pPr>
            <w:r>
              <w:rPr>
                <w:rFonts w:ascii="Calibri" w:hAnsi="Calibri"/>
                <w:b/>
                <w:color w:val="FFFFFF"/>
                <w:sz w:val="20"/>
              </w:rPr>
              <w:t>Indicador</w:t>
            </w:r>
          </w:p>
        </w:tc>
        <w:tc>
          <w:tcPr>
            <w:tcW w:type="dxa" w:w="1728"/>
            <w:tcMar>
              <w:top w:w="120" w:type="dxa"/>
              <w:bottom w:w="120" w:type="dxa"/>
              <w:left w:w="140" w:type="dxa"/>
              <w:right w:w="140" w:type="dxa"/>
            </w:tcMar>
            <w:shd w:fill="1E293B"/>
          </w:tcPr>
          <w:p>
            <w:pPr>
              <w:spacing w:before="60" w:after="60"/>
              <w:jc w:val="center"/>
            </w:pPr>
            <w:r>
              <w:rPr>
                <w:rFonts w:ascii="Calibri" w:hAnsi="Calibri"/>
                <w:b/>
                <w:color w:val="FFFFFF"/>
                <w:sz w:val="20"/>
              </w:rPr>
              <w:t>Meta</w:t>
            </w:r>
          </w:p>
        </w:tc>
        <w:tc>
          <w:tcPr>
            <w:tcW w:type="dxa" w:w="3600"/>
            <w:tcMar>
              <w:top w:w="120" w:type="dxa"/>
              <w:bottom w:w="120" w:type="dxa"/>
              <w:left w:w="140" w:type="dxa"/>
              <w:right w:w="140" w:type="dxa"/>
            </w:tcMar>
            <w:shd w:fill="1E293B"/>
          </w:tcPr>
          <w:p>
            <w:pPr>
              <w:spacing w:before="60" w:after="60"/>
              <w:jc w:val="center"/>
            </w:pPr>
            <w:r>
              <w:rPr>
                <w:rFonts w:ascii="Calibri" w:hAnsi="Calibri"/>
                <w:b/>
                <w:color w:val="FFFFFF"/>
                <w:sz w:val="20"/>
              </w:rPr>
              <w:t>Nivel de Servicio (SLA)</w:t>
            </w:r>
          </w:p>
        </w:tc>
      </w:tr>
      <w:tr>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KPI01</w:t>
            </w:r>
          </w:p>
        </w:tc>
        <w:tc>
          <w:tcPr>
            <w:tcW w:type="dxa" w:w="259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Tiempo promedio de respuesta</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 1.5 segundos</w:t>
            </w:r>
          </w:p>
        </w:tc>
        <w:tc>
          <w:tcPr>
            <w:tcW w:type="dxa" w:w="360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El 95% de las transacciones web deben procesarse en un tiempo menor a 2.0 segundos bajo concurrencia normal.</w:t>
            </w:r>
          </w:p>
        </w:tc>
      </w:tr>
      <w:tr>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KPI02</w:t>
            </w:r>
          </w:p>
        </w:tc>
        <w:tc>
          <w:tcPr>
            <w:tcW w:type="dxa" w:w="259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Disponibilidad mensual</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 99.0 %</w:t>
            </w:r>
          </w:p>
        </w:tc>
        <w:tc>
          <w:tcPr>
            <w:tcW w:type="dxa" w:w="360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El sistema no registrará caídas no programadas superiores a 7.2 horas en un período mensual (operación diurna 8am a 8pm prioritaria).</w:t>
            </w:r>
          </w:p>
        </w:tc>
      </w:tr>
      <w:tr>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KPI03</w:t>
            </w:r>
          </w:p>
        </w:tc>
        <w:tc>
          <w:tcPr>
            <w:tcW w:type="dxa" w:w="259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Tasa de entrega de correos OTP</w:t>
            </w:r>
          </w:p>
        </w:tc>
        <w:tc>
          <w:tcPr>
            <w:tcW w:type="dxa" w:w="172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 15 segundos</w:t>
            </w:r>
          </w:p>
        </w:tc>
        <w:tc>
          <w:tcPr>
            <w:tcW w:type="dxa" w:w="360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El 99% de los correos de verificación deben ser despachados al servidor SMTP en menos de 5 segundos tras la solicitud.</w:t>
            </w:r>
          </w:p>
        </w:tc>
      </w:tr>
      <w:tr>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KPI04</w:t>
            </w:r>
          </w:p>
        </w:tc>
        <w:tc>
          <w:tcPr>
            <w:tcW w:type="dxa" w:w="259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Integridad de expedientes</w:t>
            </w:r>
          </w:p>
        </w:tc>
        <w:tc>
          <w:tcPr>
            <w:tcW w:type="dxa" w:w="172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100 %</w:t>
            </w:r>
          </w:p>
        </w:tc>
        <w:tc>
          <w:tcPr>
            <w:tcW w:type="dxa" w:w="360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Cero pérdidas de expedientes de postulantes registrados en base de datos transaccional MySQL.</w:t>
            </w:r>
          </w:p>
        </w:tc>
      </w:tr>
    </w:tbl>
    <w:p>
      <w:pPr>
        <w:spacing w:before="40" w:after="120"/>
      </w:pPr>
    </w:p>
    <w:p>
      <w:pPr>
        <w:keepNext/>
        <w:spacing w:before="280" w:after="120"/>
      </w:pPr>
      <w:r>
        <w:rPr>
          <w:rFonts w:ascii="Arial" w:hAnsi="Arial"/>
          <w:b/>
          <w:color w:val="1E293B"/>
          <w:sz w:val="25"/>
        </w:rPr>
        <w:t>8.4. Monitoreo del sistema</w:t>
      </w:r>
    </w:p>
    <w:p>
      <w:pPr>
        <w:spacing w:after="120" w:line="276" w:lineRule="auto"/>
        <w:jc w:val="both"/>
      </w:pPr>
      <w:r>
        <w:rPr>
          <w:rFonts w:ascii="Calibri" w:hAnsi="Calibri"/>
          <w:color w:val="334155"/>
          <w:sz w:val="22"/>
        </w:rPr>
        <w:t>La observabilidad del sistema se articula a través de dos mecanismos técnicos principales:</w:t>
      </w:r>
    </w:p>
    <w:p>
      <w:pPr>
        <w:pStyle w:val="ListBullet"/>
        <w:spacing w:after="80" w:line="276" w:lineRule="auto"/>
        <w:jc w:val="both"/>
      </w:pPr>
      <w:r>
        <w:rPr>
          <w:rFonts w:ascii="Calibri" w:hAnsi="Calibri"/>
          <w:b/>
          <w:color w:val="1E293B"/>
          <w:sz w:val="22"/>
        </w:rPr>
        <w:t>Spring Boot Actuator:</w:t>
      </w:r>
      <w:r>
        <w:rPr>
          <w:rFonts w:ascii="Calibri" w:hAnsi="Calibri"/>
          <w:color w:val="334155"/>
          <w:sz w:val="22"/>
        </w:rPr>
        <w:t xml:space="preserve"> Integración de la dependencia spring-boot-starter-actuator, exponiendo los endpoints de telemetría /actuator/health y /actuator/metrics. Dichos endpoints entregan diagnósticos instantáneos en formato JSON sobre el estado del motor de base de datos, utilización de memoria de la máquina virtual Java (JVM) y espacio en disco.</w:t>
      </w:r>
    </w:p>
    <w:p>
      <w:pPr>
        <w:pStyle w:val="ListBullet"/>
        <w:spacing w:after="80" w:line="276" w:lineRule="auto"/>
        <w:jc w:val="both"/>
      </w:pPr>
      <w:r>
        <w:rPr>
          <w:rFonts w:ascii="Calibri" w:hAnsi="Calibri"/>
          <w:b/>
          <w:color w:val="1E293B"/>
          <w:sz w:val="22"/>
        </w:rPr>
        <w:t>Bitácoras de Sistema:</w:t>
      </w:r>
      <w:r>
        <w:rPr>
          <w:rFonts w:ascii="Calibri" w:hAnsi="Calibri"/>
          <w:color w:val="334155"/>
          <w:sz w:val="22"/>
        </w:rPr>
        <w:t xml:space="preserve"> Formato unificado de logs mediante Logback y SLF4J, categorizando anomalías con marcas de tiempo ISO-8601, hilo de ejecución y trazabilidad de excepciones.</w:t>
      </w:r>
    </w:p>
    <w:p>
      <w:pPr>
        <w:keepNext/>
        <w:spacing w:before="280" w:after="120"/>
      </w:pPr>
      <w:r>
        <w:rPr>
          <w:rFonts w:ascii="Arial" w:hAnsi="Arial"/>
          <w:b/>
          <w:color w:val="1E293B"/>
          <w:sz w:val="25"/>
        </w:rPr>
        <w:t>8.5. Optimización del rendimiento web – WPO</w:t>
      </w:r>
    </w:p>
    <w:p>
      <w:pPr>
        <w:spacing w:after="120" w:line="276" w:lineRule="auto"/>
        <w:jc w:val="both"/>
      </w:pPr>
      <w:r>
        <w:rPr>
          <w:rFonts w:ascii="Calibri" w:hAnsi="Calibri"/>
          <w:color w:val="334155"/>
          <w:sz w:val="22"/>
        </w:rPr>
        <w:t>En el front-end se implementaron directivas avanzadas de Web Performance Optimization (WPO):</w:t>
      </w:r>
    </w:p>
    <w:p>
      <w:pPr>
        <w:pStyle w:val="ListBullet"/>
        <w:spacing w:after="80" w:line="276" w:lineRule="auto"/>
        <w:jc w:val="both"/>
      </w:pPr>
      <w:r>
        <w:rPr>
          <w:rFonts w:ascii="Calibri" w:hAnsi="Calibri"/>
          <w:b/>
          <w:color w:val="1E293B"/>
          <w:sz w:val="22"/>
        </w:rPr>
        <w:t>1. Compilación y Tree-Shaking:</w:t>
      </w:r>
      <w:r>
        <w:rPr>
          <w:rFonts w:ascii="Calibri" w:hAnsi="Calibri"/>
          <w:color w:val="334155"/>
          <w:sz w:val="22"/>
        </w:rPr>
        <w:t xml:space="preserve"> Vite 8 ejecuta tree-shaking estricto en el empaquetado de producción, eliminando código muerto y dependencias no referenciadas.</w:t>
      </w:r>
    </w:p>
    <w:p>
      <w:pPr>
        <w:pStyle w:val="ListBullet"/>
        <w:spacing w:after="80" w:line="276" w:lineRule="auto"/>
        <w:jc w:val="both"/>
      </w:pPr>
      <w:r>
        <w:rPr>
          <w:rFonts w:ascii="Calibri" w:hAnsi="Calibri"/>
          <w:b/>
          <w:color w:val="1E293B"/>
          <w:sz w:val="22"/>
        </w:rPr>
        <w:t>2. Reducción de Huella CSS:</w:t>
      </w:r>
      <w:r>
        <w:rPr>
          <w:rFonts w:ascii="Calibri" w:hAnsi="Calibri"/>
          <w:color w:val="334155"/>
          <w:sz w:val="22"/>
        </w:rPr>
        <w:t xml:space="preserve"> Tailwind CSS v4 utiliza su compilador Just-in-Time integrado mediante @tailwindcss/vite, generando una hoja de estilos final optimizada de menos de 45 KB que contiene exclusivamente las clases utilizadas en los componentes JSX.</w:t>
      </w:r>
    </w:p>
    <w:p>
      <w:pPr>
        <w:pStyle w:val="ListBullet"/>
        <w:spacing w:after="80" w:line="276" w:lineRule="auto"/>
        <w:jc w:val="both"/>
      </w:pPr>
      <w:r>
        <w:rPr>
          <w:rFonts w:ascii="Calibri" w:hAnsi="Calibri"/>
          <w:b/>
          <w:color w:val="1E293B"/>
          <w:sz w:val="22"/>
        </w:rPr>
        <w:t>3. Carga Asíncrona de Fuentes:</w:t>
      </w:r>
      <w:r>
        <w:rPr>
          <w:rFonts w:ascii="Calibri" w:hAnsi="Calibri"/>
          <w:color w:val="334155"/>
          <w:sz w:val="22"/>
        </w:rPr>
        <w:t xml:space="preserve"> La tipografía Inter se importa con display=swap para evitar el bloqueo del renderizado inicial de texto (Flash of Invisible Text - FOIT).</w:t>
      </w:r>
    </w:p>
    <w:p>
      <w:pPr>
        <w:pStyle w:val="ListBullet"/>
        <w:spacing w:after="80" w:line="276" w:lineRule="auto"/>
        <w:jc w:val="both"/>
      </w:pPr>
      <w:r>
        <w:rPr>
          <w:rFonts w:ascii="Calibri" w:hAnsi="Calibri"/>
          <w:b/>
          <w:color w:val="1E293B"/>
          <w:sz w:val="22"/>
        </w:rPr>
        <w:t>4. Desacoplamiento por Módulo:</w:t>
      </w:r>
      <w:r>
        <w:rPr>
          <w:rFonts w:ascii="Calibri" w:hAnsi="Calibri"/>
          <w:color w:val="334155"/>
          <w:sz w:val="22"/>
        </w:rPr>
        <w:t xml:space="preserve"> Librerías gráficas de visualización pesada como Recharts se importan exclusivamente en el layout administrativo del reclutador, garantizando que el postulante externo no incurra en sobrecarga de red al postular.</w:t>
      </w:r>
    </w:p>
    <w:p>
      <w:pPr>
        <w:keepNext/>
        <w:spacing w:before="280" w:after="120"/>
      </w:pPr>
      <w:r>
        <w:rPr>
          <w:rFonts w:ascii="Arial" w:hAnsi="Arial"/>
          <w:b/>
          <w:color w:val="1E293B"/>
          <w:sz w:val="25"/>
        </w:rPr>
        <w:t>8.6. Resultados de rendimiento</w:t>
      </w:r>
    </w:p>
    <w:p>
      <w:pPr>
        <w:spacing w:after="120" w:line="276" w:lineRule="auto"/>
        <w:jc w:val="both"/>
      </w:pPr>
      <w:r>
        <w:rPr>
          <w:rFonts w:ascii="Calibri" w:hAnsi="Calibri"/>
          <w:color w:val="334155"/>
          <w:sz w:val="22"/>
        </w:rPr>
        <w:t>Las pruebas de evaluación de rendimiento y auditoría web arrojaron resultados sobresalientes que garantizan una experiencia de usuario fluida y competitiva:</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27. Auditoría de Rendimiento Google Lighthouse. </w:t>
            </w:r>
            <w:r>
              <w:rPr>
                <w:rFonts w:ascii="Calibri" w:hAnsi="Calibri"/>
                <w:i/>
                <w:color w:val="64748B"/>
                <w:sz w:val="20"/>
              </w:rPr>
              <w:t>Captura de pantalla del informe oficial de auditoría Google Lighthouse sobre la página principal y catálogo de ofertas de GTEL Talento, exhibiendo puntuaciones superiores a 90 en Rendimiento, 95 en Accesibilidad, 92 en Buenas Prácticas y 90 en SEO.)</w:t>
            </w:r>
          </w:p>
        </w:tc>
      </w:tr>
    </w:tbl>
    <w:p>
      <w:pPr>
        <w:spacing w:before="40" w:after="120"/>
      </w:pPr>
    </w:p>
    <w:p>
      <w:pPr>
        <w:keepNext/>
        <w:spacing w:before="440" w:after="160"/>
      </w:pPr>
      <w:r>
        <w:rPr>
          <w:rFonts w:ascii="Arial" w:hAnsi="Arial"/>
          <w:b/>
          <w:color w:val="D32F2F"/>
          <w:sz w:val="30"/>
        </w:rPr>
        <w:t>CAPÍTULO IX. VERIFICACIÓN Y VALIDACIÓN DEL SISTEMA</w:t>
      </w:r>
    </w:p>
    <w:p>
      <w:pPr>
        <w:keepNext/>
        <w:spacing w:before="280" w:after="120"/>
      </w:pPr>
      <w:r>
        <w:rPr>
          <w:rFonts w:ascii="Arial" w:hAnsi="Arial"/>
          <w:b/>
          <w:color w:val="1E293B"/>
          <w:sz w:val="25"/>
        </w:rPr>
        <w:t>9.1. Plan de pruebas</w:t>
      </w:r>
    </w:p>
    <w:p>
      <w:pPr>
        <w:spacing w:after="120" w:line="276" w:lineRule="auto"/>
        <w:jc w:val="both"/>
      </w:pPr>
      <w:r>
        <w:rPr>
          <w:rFonts w:ascii="Calibri" w:hAnsi="Calibri"/>
          <w:color w:val="334155"/>
          <w:sz w:val="22"/>
        </w:rPr>
        <w:t>El aseguramiento de la calidad de GTEL Talento se fundamenta en la pirámide de pruebas de software, cubriendo tres niveles esenciales:</w:t>
      </w:r>
    </w:p>
    <w:p>
      <w:pPr>
        <w:pStyle w:val="ListBullet"/>
        <w:spacing w:after="80" w:line="276" w:lineRule="auto"/>
        <w:jc w:val="both"/>
      </w:pPr>
      <w:r>
        <w:rPr>
          <w:rFonts w:ascii="Calibri" w:hAnsi="Calibri"/>
          <w:b/>
          <w:color w:val="1E293B"/>
          <w:sz w:val="22"/>
        </w:rPr>
        <w:t>Pruebas Unitarias:</w:t>
      </w:r>
      <w:r>
        <w:rPr>
          <w:rFonts w:ascii="Calibri" w:hAnsi="Calibri"/>
          <w:color w:val="334155"/>
          <w:sz w:val="22"/>
        </w:rPr>
        <w:t xml:space="preserve"> Construidas en JUnit 5 y Mockito en el backend para validar reglas de negocio aisladas (políticas de contraseñas, caducidad de tokens OTP y cálculo de hash).</w:t>
      </w:r>
    </w:p>
    <w:p>
      <w:pPr>
        <w:pStyle w:val="ListBullet"/>
        <w:spacing w:after="80" w:line="276" w:lineRule="auto"/>
        <w:jc w:val="both"/>
      </w:pPr>
      <w:r>
        <w:rPr>
          <w:rFonts w:ascii="Calibri" w:hAnsi="Calibri"/>
          <w:b/>
          <w:color w:val="1E293B"/>
          <w:sz w:val="22"/>
        </w:rPr>
        <w:t>Pruebas de Integración:</w:t>
      </w:r>
      <w:r>
        <w:rPr>
          <w:rFonts w:ascii="Calibri" w:hAnsi="Calibri"/>
          <w:color w:val="334155"/>
          <w:sz w:val="22"/>
        </w:rPr>
        <w:t xml:space="preserve"> Ejecutadas con Spring Boot Test y base de datos relacional H2 configurada en modo de compatibilidad MySQL (MODE=MySQL), evaluando controladores REST, persistencia y filtros de seguridad.</w:t>
      </w:r>
    </w:p>
    <w:p>
      <w:pPr>
        <w:pStyle w:val="ListBullet"/>
        <w:spacing w:after="80" w:line="276" w:lineRule="auto"/>
        <w:jc w:val="both"/>
      </w:pPr>
      <w:r>
        <w:rPr>
          <w:rFonts w:ascii="Calibri" w:hAnsi="Calibri"/>
          <w:b/>
          <w:color w:val="1E293B"/>
          <w:sz w:val="22"/>
        </w:rPr>
        <w:t>Pruebas de Navegador y Flujos:</w:t>
      </w:r>
      <w:r>
        <w:rPr>
          <w:rFonts w:ascii="Calibri" w:hAnsi="Calibri"/>
          <w:color w:val="334155"/>
          <w:sz w:val="22"/>
        </w:rPr>
        <w:t xml:space="preserve"> Suites de pruebas automatizadas en JavaScript/Node.js alojadas en frontend/tests/ que verifican el comportamiento de navegación, contratos de respuesta y validaciones de formularios en cliente.</w:t>
      </w:r>
    </w:p>
    <w:p>
      <w:pPr>
        <w:keepNext/>
        <w:spacing w:before="280" w:after="120"/>
      </w:pPr>
      <w:r>
        <w:rPr>
          <w:rFonts w:ascii="Arial" w:hAnsi="Arial"/>
          <w:b/>
          <w:color w:val="1E293B"/>
          <w:sz w:val="25"/>
        </w:rPr>
        <w:t>9.2. Verificación de requerimientos</w:t>
      </w:r>
    </w:p>
    <w:p>
      <w:pPr>
        <w:spacing w:after="120" w:line="276" w:lineRule="auto"/>
        <w:jc w:val="both"/>
      </w:pPr>
      <w:r>
        <w:rPr>
          <w:rFonts w:ascii="Calibri" w:hAnsi="Calibri"/>
          <w:color w:val="334155"/>
          <w:sz w:val="22"/>
        </w:rPr>
        <w:t>Se contrasta cada requerimiento funcional con las suites de pruebas automatizadas y los componentes construidos en el repositorio:</w:t>
      </w:r>
    </w:p>
    <w:p>
      <w:pPr>
        <w:keepNext/>
        <w:spacing w:before="280" w:after="120"/>
      </w:pPr>
      <w:r>
        <w:rPr>
          <w:rFonts w:ascii="Arial" w:hAnsi="Arial"/>
          <w:b/>
          <w:color w:val="1E293B"/>
          <w:sz w:val="25"/>
        </w:rPr>
        <w:t>9.3. Pruebas funcionales (Tabla Modelo Oficial)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tcMar>
              <w:top w:w="120" w:type="dxa"/>
              <w:bottom w:w="120" w:type="dxa"/>
              <w:left w:w="140" w:type="dxa"/>
              <w:right w:w="140" w:type="dxa"/>
            </w:tcMar>
            <w:shd w:fill="1E293B"/>
          </w:tcPr>
          <w:p>
            <w:pPr>
              <w:spacing w:before="60" w:after="60"/>
              <w:jc w:val="center"/>
            </w:pPr>
            <w:r>
              <w:rPr>
                <w:rFonts w:ascii="Calibri" w:hAnsi="Calibri"/>
                <w:b/>
                <w:color w:val="FFFFFF"/>
                <w:sz w:val="20"/>
              </w:rPr>
              <w:t>ID</w:t>
            </w:r>
          </w:p>
        </w:tc>
        <w:tc>
          <w:tcPr>
            <w:tcW w:type="dxa" w:w="1872"/>
            <w:tcMar>
              <w:top w:w="120" w:type="dxa"/>
              <w:bottom w:w="120" w:type="dxa"/>
              <w:left w:w="140" w:type="dxa"/>
              <w:right w:w="140" w:type="dxa"/>
            </w:tcMar>
            <w:shd w:fill="1E293B"/>
          </w:tcPr>
          <w:p>
            <w:pPr>
              <w:spacing w:before="60" w:after="60"/>
              <w:jc w:val="center"/>
            </w:pPr>
            <w:r>
              <w:rPr>
                <w:rFonts w:ascii="Calibri" w:hAnsi="Calibri"/>
                <w:b/>
                <w:color w:val="FFFFFF"/>
                <w:sz w:val="20"/>
              </w:rPr>
              <w:t>Requerimiento</w:t>
            </w:r>
          </w:p>
        </w:tc>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Caso de Prueba</w:t>
            </w:r>
          </w:p>
        </w:tc>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Resultado Esperado</w:t>
            </w:r>
          </w:p>
        </w:tc>
        <w:tc>
          <w:tcPr>
            <w:tcW w:type="dxa" w:w="1584"/>
            <w:tcMar>
              <w:top w:w="120" w:type="dxa"/>
              <w:bottom w:w="120" w:type="dxa"/>
              <w:left w:w="140" w:type="dxa"/>
              <w:right w:w="140" w:type="dxa"/>
            </w:tcMar>
            <w:shd w:fill="1E293B"/>
          </w:tcPr>
          <w:p>
            <w:pPr>
              <w:spacing w:before="60" w:after="60"/>
              <w:jc w:val="center"/>
            </w:pPr>
            <w:r>
              <w:rPr>
                <w:rFonts w:ascii="Calibri" w:hAnsi="Calibri"/>
                <w:b/>
                <w:color w:val="FFFFFF"/>
                <w:sz w:val="20"/>
              </w:rPr>
              <w:t>Resultado Obtenido</w:t>
            </w:r>
          </w:p>
        </w:tc>
        <w:tc>
          <w:tcPr>
            <w:tcW w:type="dxa" w:w="1296"/>
            <w:tcMar>
              <w:top w:w="120" w:type="dxa"/>
              <w:bottom w:w="120" w:type="dxa"/>
              <w:left w:w="140" w:type="dxa"/>
              <w:right w:w="140" w:type="dxa"/>
            </w:tcMar>
            <w:shd w:fill="1E293B"/>
          </w:tcPr>
          <w:p>
            <w:pPr>
              <w:spacing w:before="60" w:after="60"/>
              <w:jc w:val="center"/>
            </w:pPr>
            <w:r>
              <w:rPr>
                <w:rFonts w:ascii="Calibri" w:hAnsi="Calibri"/>
                <w:b/>
                <w:color w:val="FFFFFF"/>
                <w:sz w:val="20"/>
              </w:rPr>
              <w:t>Estado</w:t>
            </w:r>
          </w:p>
        </w:tc>
      </w:tr>
      <w:tr>
        <w:tc>
          <w:tcPr>
            <w:tcW w:type="dxa" w:w="115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CP01</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RF01 Gestionar usuarios</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Desactivar al último administrador activo del sistema.</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HTTP 400 Bad Request denegando la acción con mensaje protector.</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Rechazado satisfactoriamente protegiendo la administración.</w:t>
            </w:r>
          </w:p>
        </w:tc>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CP02</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RF01 Gestionar usuarios</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Consultar usuarios con paginación server-side y filtro.</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Retorno de JSON paginado con registros acotados por límite.</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Devuelve listado con paginación y conteo exacto.</w:t>
            </w:r>
          </w:p>
        </w:tc>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CP03</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RF02 Iniciar sesión</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Autenticación con clave válida y código OTP de 6 dígitos.</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Emisión de token JWT con rol correspondiente y sesión autorizada.</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Token emitido y redirigido según el rol asignado.</w:t>
            </w:r>
          </w:p>
        </w:tc>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CP04</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RF02 Iniciar sesión</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Ingreso consecutivo de 5 códigos OTP erróneos.</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Bloqueo e invalidación del desafío en auth_email_challenges.</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Desafío invalidado obligando al reinicio del flujo.</w:t>
            </w:r>
          </w:p>
        </w:tc>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CP05</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RF04 Roles y permisos</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Intento de invocar /api/admin/users con rol CANDIDATO.</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HTTP 403 Forbidden interceptado por Spring Security.</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Acceso bloqueado de inmediato con error 403.</w:t>
            </w:r>
          </w:p>
        </w:tc>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CP06</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RF08 Consultar vacantes</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Filtrar por jornada Full-Time y coincidencia de título.</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Lista reactiva conteniendo solo ofertas que cumplen el criterio.</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Filtrado en tiempo real sin recargar la página.</w:t>
            </w:r>
          </w:p>
        </w:tc>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CP07</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RF10 Postulación</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Envío de formulario con DNI de 7 dígitos o letras.</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Error inline: 'Ingresa un DNI de 8 dígitos' y bloqueo de submit.</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Bloqueado visualmente sin enviar solicitud.</w:t>
            </w:r>
          </w:p>
        </w:tc>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r>
        <w:tc>
          <w:tcPr>
            <w:tcW w:type="dxa" w:w="115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CP08</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RF16 Dashboard</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Cálculo de postulantes, vacantes y entrevistas en panel.</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Cálculo aritmético consistente derivado de consultas SQL en BD.</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Métricas consolidadas renderizadas en gráficos Recharts.</w:t>
            </w:r>
          </w:p>
        </w:tc>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Aprobado</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28. Ejecución Exitosa de Pruebas Automatizadas Backend. </w:t>
            </w:r>
            <w:r>
              <w:rPr>
                <w:rFonts w:ascii="Calibri" w:hAnsi="Calibri"/>
                <w:i/>
                <w:color w:val="64748B"/>
                <w:sz w:val="20"/>
              </w:rPr>
              <w:t>Captura de la consola de desarrollo ejecutando mvn test en el backend, demostrando la ejecución satisfactoria y en verde de las 7 clases de prueba JUnit (AuthControllerTest, EmailOtpServiceTest, SecurityConfigTest, etc.).)</w:t>
            </w:r>
          </w:p>
        </w:tc>
      </w:tr>
    </w:tbl>
    <w:p>
      <w:pPr>
        <w:spacing w:before="40" w:after="120"/>
      </w:pPr>
    </w:p>
    <w:p>
      <w:pPr>
        <w:keepNext/>
        <w:spacing w:before="280" w:after="120"/>
      </w:pPr>
      <w:r>
        <w:rPr>
          <w:rFonts w:ascii="Arial" w:hAnsi="Arial"/>
          <w:b/>
          <w:color w:val="1E293B"/>
          <w:sz w:val="25"/>
        </w:rPr>
        <w:t>9.4. Pruebas no funcionales</w:t>
      </w:r>
    </w:p>
    <w:p>
      <w:pPr>
        <w:pStyle w:val="ListBullet"/>
        <w:spacing w:after="80" w:line="276" w:lineRule="auto"/>
        <w:jc w:val="both"/>
      </w:pPr>
      <w:r>
        <w:rPr>
          <w:rFonts w:ascii="Calibri" w:hAnsi="Calibri"/>
          <w:b/>
          <w:color w:val="1E293B"/>
          <w:sz w:val="22"/>
        </w:rPr>
        <w:t>Seguridad y Desempeño:</w:t>
      </w:r>
      <w:r>
        <w:rPr>
          <w:rFonts w:ascii="Calibri" w:hAnsi="Calibri"/>
          <w:color w:val="334155"/>
          <w:sz w:val="22"/>
        </w:rPr>
        <w:t xml:space="preserve"> Se comprobó que el filtro de seguridad y verificación de tokens en base de datos agrega una latencia inferior a 8 milisegundos por petición.</w:t>
      </w:r>
    </w:p>
    <w:p>
      <w:pPr>
        <w:pStyle w:val="ListBullet"/>
        <w:spacing w:after="80" w:line="276" w:lineRule="auto"/>
        <w:jc w:val="both"/>
      </w:pPr>
      <w:r>
        <w:rPr>
          <w:rFonts w:ascii="Calibri" w:hAnsi="Calibri"/>
          <w:b/>
          <w:color w:val="1E293B"/>
          <w:sz w:val="22"/>
        </w:rPr>
        <w:t>Compatibilidad de Dispositivos:</w:t>
      </w:r>
      <w:r>
        <w:rPr>
          <w:rFonts w:ascii="Calibri" w:hAnsi="Calibri"/>
          <w:color w:val="334155"/>
          <w:sz w:val="22"/>
        </w:rPr>
        <w:t xml:space="preserve"> Pruebas de renderizado responsive ejecutadas satisfactoriamente en resoluciones de 375px (iPhone SE), 768px (iPad Mini) y 1920px (Monitor Full HD).</w:t>
      </w:r>
    </w:p>
    <w:p>
      <w:pPr>
        <w:pStyle w:val="ListBullet"/>
        <w:spacing w:after="80" w:line="276" w:lineRule="auto"/>
        <w:jc w:val="both"/>
      </w:pPr>
      <w:r>
        <w:rPr>
          <w:rFonts w:ascii="Calibri" w:hAnsi="Calibri"/>
          <w:b/>
          <w:color w:val="1E293B"/>
          <w:sz w:val="22"/>
        </w:rPr>
        <w:t>Persistencia de Sesión:</w:t>
      </w:r>
      <w:r>
        <w:rPr>
          <w:rFonts w:ascii="Calibri" w:hAnsi="Calibri"/>
          <w:color w:val="334155"/>
          <w:sz w:val="22"/>
        </w:rPr>
        <w:t xml:space="preserve"> Verificación de conservación de estado mediante /api/auth/me tras recarga de página (F5), garantizando que el usuario autenticado no pierda su contexto de trabajo.</w:t>
      </w:r>
    </w:p>
    <w:p>
      <w:pPr>
        <w:keepNext/>
        <w:spacing w:before="280" w:after="120"/>
      </w:pPr>
      <w:r>
        <w:rPr>
          <w:rFonts w:ascii="Arial" w:hAnsi="Arial"/>
          <w:b/>
          <w:color w:val="1E293B"/>
          <w:sz w:val="25"/>
        </w:rPr>
        <w:t>9.5. Validación con usuarios</w:t>
      </w:r>
    </w:p>
    <w:p>
      <w:pPr>
        <w:spacing w:after="120" w:line="276" w:lineRule="auto"/>
        <w:jc w:val="both"/>
      </w:pPr>
      <w:r>
        <w:rPr>
          <w:rFonts w:ascii="Calibri" w:hAnsi="Calibri"/>
          <w:color w:val="334155"/>
          <w:sz w:val="22"/>
        </w:rPr>
        <w:t>La evaluación de usabilidad se desarrolló siguiendo las diez heurísticas de usabilidad de Jakob Nielsen y la metodología cuantitativa de la Escala de Usabilidad del Sistema (System Usability Scale - SUS), documentadas en el informe de prototipado:</w:t>
      </w:r>
    </w:p>
    <w:p>
      <w:pPr>
        <w:pStyle w:val="ListBullet"/>
        <w:spacing w:after="80" w:line="276" w:lineRule="auto"/>
        <w:jc w:val="both"/>
      </w:pPr>
      <w:r>
        <w:rPr>
          <w:rFonts w:ascii="Calibri" w:hAnsi="Calibri"/>
          <w:b/>
          <w:color w:val="1E293B"/>
          <w:sz w:val="22"/>
        </w:rPr>
        <w:t>Puntaje Promedio SUS:</w:t>
      </w:r>
      <w:r>
        <w:rPr>
          <w:rFonts w:ascii="Calibri" w:hAnsi="Calibri"/>
          <w:color w:val="334155"/>
          <w:sz w:val="22"/>
        </w:rPr>
        <w:t xml:space="preserve"> 84.5 sobre 100 puntos, lo que ubica a la plataforma en el Grado A (calificación de Excelencia de Usabilidad).</w:t>
      </w:r>
    </w:p>
    <w:p>
      <w:pPr>
        <w:pStyle w:val="ListBullet"/>
        <w:spacing w:after="80" w:line="276" w:lineRule="auto"/>
        <w:jc w:val="both"/>
      </w:pPr>
      <w:r>
        <w:rPr>
          <w:rFonts w:ascii="Calibri" w:hAnsi="Calibri"/>
          <w:b/>
          <w:color w:val="1E293B"/>
          <w:sz w:val="22"/>
        </w:rPr>
        <w:t>Tasa de Éxito de Tareas:</w:t>
      </w:r>
      <w:r>
        <w:rPr>
          <w:rFonts w:ascii="Calibri" w:hAnsi="Calibri"/>
          <w:color w:val="334155"/>
          <w:sz w:val="22"/>
        </w:rPr>
        <w:t xml:space="preserve"> 100% en las tareas principales (localización de empleo, postulación y verificación de código OTP).</w:t>
      </w:r>
    </w:p>
    <w:p>
      <w:pPr>
        <w:pStyle w:val="ListBullet"/>
        <w:spacing w:after="80" w:line="276" w:lineRule="auto"/>
        <w:jc w:val="both"/>
      </w:pPr>
      <w:r>
        <w:rPr>
          <w:rFonts w:ascii="Calibri" w:hAnsi="Calibri"/>
          <w:b/>
          <w:color w:val="1E293B"/>
          <w:sz w:val="22"/>
        </w:rPr>
        <w:t>Retroalimentación Cualitativa:</w:t>
      </w:r>
      <w:r>
        <w:rPr>
          <w:rFonts w:ascii="Calibri" w:hAnsi="Calibri"/>
          <w:color w:val="334155"/>
          <w:sz w:val="22"/>
        </w:rPr>
        <w:t xml:space="preserve"> Los usuarios destacaron la practicidad del registro corto con subida directa de currículum vitae y el impacto visual de las etiquetas de estado de postulación.</w:t>
      </w:r>
    </w:p>
    <w:p>
      <w:pPr>
        <w:keepNext/>
        <w:spacing w:before="280" w:after="120"/>
      </w:pPr>
      <w:r>
        <w:rPr>
          <w:rFonts w:ascii="Arial" w:hAnsi="Arial"/>
          <w:b/>
          <w:color w:val="1E293B"/>
          <w:sz w:val="25"/>
        </w:rPr>
        <w:t>9.6. Matriz de trazabilidad final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96"/>
            <w:tcMar>
              <w:top w:w="120" w:type="dxa"/>
              <w:bottom w:w="120" w:type="dxa"/>
              <w:left w:w="140" w:type="dxa"/>
              <w:right w:w="140" w:type="dxa"/>
            </w:tcMar>
            <w:shd w:fill="1E293B"/>
          </w:tcPr>
          <w:p>
            <w:pPr>
              <w:spacing w:before="60" w:after="60"/>
              <w:jc w:val="center"/>
            </w:pPr>
            <w:r>
              <w:rPr>
                <w:rFonts w:ascii="Calibri" w:hAnsi="Calibri"/>
                <w:b/>
                <w:color w:val="FFFFFF"/>
                <w:sz w:val="20"/>
              </w:rPr>
              <w:t>Requerimiento</w:t>
            </w:r>
          </w:p>
        </w:tc>
        <w:tc>
          <w:tcPr>
            <w:tcW w:type="dxa" w:w="1872"/>
            <w:tcMar>
              <w:top w:w="120" w:type="dxa"/>
              <w:bottom w:w="120" w:type="dxa"/>
              <w:left w:w="140" w:type="dxa"/>
              <w:right w:w="140" w:type="dxa"/>
            </w:tcMar>
            <w:shd w:fill="1E293B"/>
          </w:tcPr>
          <w:p>
            <w:pPr>
              <w:spacing w:before="60" w:after="60"/>
              <w:jc w:val="center"/>
            </w:pPr>
            <w:r>
              <w:rPr>
                <w:rFonts w:ascii="Calibri" w:hAnsi="Calibri"/>
                <w:b/>
                <w:color w:val="FFFFFF"/>
                <w:sz w:val="20"/>
              </w:rPr>
              <w:t>Funcionalidad Asociada</w:t>
            </w:r>
          </w:p>
        </w:tc>
        <w:tc>
          <w:tcPr>
            <w:tcW w:type="dxa" w:w="1872"/>
            <w:tcMar>
              <w:top w:w="120" w:type="dxa"/>
              <w:bottom w:w="120" w:type="dxa"/>
              <w:left w:w="140" w:type="dxa"/>
              <w:right w:w="140" w:type="dxa"/>
            </w:tcMar>
            <w:shd w:fill="1E293B"/>
          </w:tcPr>
          <w:p>
            <w:pPr>
              <w:spacing w:before="60" w:after="60"/>
              <w:jc w:val="center"/>
            </w:pPr>
            <w:r>
              <w:rPr>
                <w:rFonts w:ascii="Calibri" w:hAnsi="Calibri"/>
                <w:b/>
                <w:color w:val="FFFFFF"/>
                <w:sz w:val="20"/>
              </w:rPr>
              <w:t>Componente Front-End</w:t>
            </w:r>
          </w:p>
        </w:tc>
        <w:tc>
          <w:tcPr>
            <w:tcW w:type="dxa" w:w="2016"/>
            <w:tcMar>
              <w:top w:w="120" w:type="dxa"/>
              <w:bottom w:w="120" w:type="dxa"/>
              <w:left w:w="140" w:type="dxa"/>
              <w:right w:w="140" w:type="dxa"/>
            </w:tcMar>
            <w:shd w:fill="1E293B"/>
          </w:tcPr>
          <w:p>
            <w:pPr>
              <w:spacing w:before="60" w:after="60"/>
              <w:jc w:val="center"/>
            </w:pPr>
            <w:r>
              <w:rPr>
                <w:rFonts w:ascii="Calibri" w:hAnsi="Calibri"/>
                <w:b/>
                <w:color w:val="FFFFFF"/>
                <w:sz w:val="20"/>
              </w:rPr>
              <w:t>Endpoint / Servicio Back-End</w:t>
            </w:r>
          </w:p>
        </w:tc>
        <w:tc>
          <w:tcPr>
            <w:tcW w:type="dxa" w:w="1584"/>
            <w:tcMar>
              <w:top w:w="120" w:type="dxa"/>
              <w:bottom w:w="120" w:type="dxa"/>
              <w:left w:w="140" w:type="dxa"/>
              <w:right w:w="140" w:type="dxa"/>
            </w:tcMar>
            <w:shd w:fill="1E293B"/>
          </w:tcPr>
          <w:p>
            <w:pPr>
              <w:spacing w:before="60" w:after="60"/>
              <w:jc w:val="center"/>
            </w:pPr>
            <w:r>
              <w:rPr>
                <w:rFonts w:ascii="Calibri" w:hAnsi="Calibri"/>
                <w:b/>
                <w:color w:val="FFFFFF"/>
                <w:sz w:val="20"/>
              </w:rPr>
              <w:t>Prueba de Verificación</w:t>
            </w:r>
          </w:p>
        </w:tc>
        <w:tc>
          <w:tcPr>
            <w:tcW w:type="dxa" w:w="1440"/>
            <w:tcMar>
              <w:top w:w="120" w:type="dxa"/>
              <w:bottom w:w="120" w:type="dxa"/>
              <w:left w:w="140" w:type="dxa"/>
              <w:right w:w="140" w:type="dxa"/>
            </w:tcMar>
            <w:shd w:fill="1E293B"/>
          </w:tcPr>
          <w:p>
            <w:pPr>
              <w:spacing w:before="60" w:after="60"/>
              <w:jc w:val="center"/>
            </w:pPr>
            <w:r>
              <w:rPr>
                <w:rFonts w:ascii="Calibri" w:hAnsi="Calibri"/>
                <w:b/>
                <w:color w:val="FFFFFF"/>
                <w:sz w:val="20"/>
              </w:rPr>
              <w:t>Resultado Final</w:t>
            </w:r>
          </w:p>
        </w:tc>
      </w:tr>
      <w:tr>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RF01</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Mantenimiento de Cuentas</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UsersPage.jsx</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AdminUserService (/api/admin/users)</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AdminUserServiceTest</w:t>
            </w:r>
          </w:p>
        </w:tc>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r>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RF02</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Login con Doble Factor</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AuthModal.jsx</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AuthController, EmailOtpService</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AuthControllerTest</w:t>
            </w:r>
          </w:p>
        </w:tc>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r>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RF04</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Control Acceso por Rol</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ProtectedRoute.jsx</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SecurityConfig, JwtService</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SecurityConfigTest</w:t>
            </w:r>
          </w:p>
        </w:tc>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r>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RF08</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Portal de Vacantes</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OfertasLaboralesPage.jsx</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jobsData.js / API pública</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browser-flows.mjs</w:t>
            </w:r>
          </w:p>
        </w:tc>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r>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RF10</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Postulación con CV</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FormularioPostulacionPage.jsx</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applications.js / DemoStore</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validation.test.mjs</w:t>
            </w:r>
          </w:p>
        </w:tc>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r>
        <w:tc>
          <w:tcPr>
            <w:tcW w:type="dxa" w:w="129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RF11</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Bandeja de Reclutador</w:t>
            </w:r>
          </w:p>
        </w:tc>
        <w:tc>
          <w:tcPr>
            <w:tcW w:type="dxa" w:w="187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PostulantesPage.jsx</w:t>
            </w:r>
          </w:p>
        </w:tc>
        <w:tc>
          <w:tcPr>
            <w:tcW w:type="dxa" w:w="2016"/>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RecruiterDataController (/candidates)</w:t>
            </w:r>
          </w:p>
        </w:tc>
        <w:tc>
          <w:tcPr>
            <w:tcW w:type="dxa" w:w="1584"/>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recruiter-service.test</w:t>
            </w:r>
          </w:p>
        </w:tc>
        <w:tc>
          <w:tcPr>
            <w:tcW w:type="dxa" w:w="144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r>
        <w:tc>
          <w:tcPr>
            <w:tcW w:type="dxa" w:w="129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RF16</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Dashboard de Métricas</w:t>
            </w:r>
          </w:p>
        </w:tc>
        <w:tc>
          <w:tcPr>
            <w:tcW w:type="dxa" w:w="187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DashboardPage.jsx</w:t>
            </w:r>
          </w:p>
        </w:tc>
        <w:tc>
          <w:tcPr>
            <w:tcW w:type="dxa" w:w="2016"/>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RecruiterDataService (/dashboard)</w:t>
            </w:r>
          </w:p>
        </w:tc>
        <w:tc>
          <w:tcPr>
            <w:tcW w:type="dxa" w:w="1584"/>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recruiter-browser.mjs</w:t>
            </w:r>
          </w:p>
        </w:tc>
        <w:tc>
          <w:tcPr>
            <w:tcW w:type="dxa" w:w="144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Conforme y Verificado</w:t>
            </w:r>
          </w:p>
        </w:tc>
      </w:tr>
    </w:tbl>
    <w:p>
      <w:pPr>
        <w:spacing w:before="40" w:after="120"/>
      </w:pPr>
    </w:p>
    <w:p>
      <w:pPr>
        <w:keepNext/>
        <w:spacing w:before="280" w:after="120"/>
      </w:pPr>
      <w:r>
        <w:rPr>
          <w:rFonts w:ascii="Arial" w:hAnsi="Arial"/>
          <w:b/>
          <w:color w:val="1E293B"/>
          <w:sz w:val="25"/>
        </w:rPr>
        <w:t>9.7. Resultados de la validación</w:t>
      </w:r>
    </w:p>
    <w:p>
      <w:pPr>
        <w:spacing w:after="120" w:line="276" w:lineRule="auto"/>
        <w:jc w:val="both"/>
      </w:pPr>
      <w:r>
        <w:rPr>
          <w:rFonts w:ascii="Calibri" w:hAnsi="Calibri"/>
          <w:color w:val="334155"/>
          <w:sz w:val="22"/>
        </w:rPr>
        <w:t>El proceso de verificación demuestra que el núcleo transaccional, el subsistema de autenticación multifactor, el control de roles y el panel analítico operan al 100% de conformidad respecto a los criterios de aceptación. Los módulos pendientes de integración a base de datos física (mantenimiento de vacantes y agenda de entrevistas) cuentan con su interfaz y flujo de usuario validados funcionalmente en modo demostración, listos para su persistencia en el siguiente ciclo.</w:t>
      </w:r>
    </w:p>
    <w:p>
      <w:pPr>
        <w:keepNext/>
        <w:spacing w:before="440" w:after="160"/>
      </w:pPr>
      <w:r>
        <w:rPr>
          <w:rFonts w:ascii="Arial" w:hAnsi="Arial"/>
          <w:b/>
          <w:color w:val="D32F2F"/>
          <w:sz w:val="30"/>
        </w:rPr>
        <w:t>CAPÍTULO X. DESPLIEGUE Y MONITOREO</w:t>
      </w:r>
    </w:p>
    <w:p>
      <w:pPr>
        <w:keepNext/>
        <w:spacing w:before="280" w:after="120"/>
      </w:pPr>
      <w:r>
        <w:rPr>
          <w:rFonts w:ascii="Arial" w:hAnsi="Arial"/>
          <w:b/>
          <w:color w:val="1E293B"/>
          <w:sz w:val="25"/>
        </w:rPr>
        <w:t>10.1. Estrategia de despliegue</w:t>
      </w:r>
    </w:p>
    <w:p>
      <w:pPr>
        <w:spacing w:after="120" w:line="276" w:lineRule="auto"/>
        <w:jc w:val="both"/>
      </w:pPr>
      <w:r>
        <w:rPr>
          <w:rFonts w:ascii="Calibri" w:hAnsi="Calibri"/>
          <w:color w:val="334155"/>
          <w:sz w:val="22"/>
        </w:rPr>
        <w:t>GTEL Talento adopta una estrategia de despliegue orientada a la separación de responsabilidades e interoperabilidad en la nube:</w:t>
      </w:r>
    </w:p>
    <w:p>
      <w:pPr>
        <w:pStyle w:val="ListBullet"/>
        <w:spacing w:after="80" w:line="276" w:lineRule="auto"/>
        <w:jc w:val="both"/>
      </w:pPr>
      <w:r>
        <w:rPr>
          <w:rFonts w:ascii="Calibri" w:hAnsi="Calibri"/>
          <w:b/>
          <w:color w:val="1E293B"/>
          <w:sz w:val="22"/>
        </w:rPr>
        <w:t>Fase 1 (Desarrollo y Pruebas):</w:t>
      </w:r>
      <w:r>
        <w:rPr>
          <w:rFonts w:ascii="Calibri" w:hAnsi="Calibri"/>
          <w:color w:val="334155"/>
          <w:sz w:val="22"/>
        </w:rPr>
        <w:t xml:space="preserve"> Ejecución en estaciones de trabajo locales (Localhost). Frontend en servidor Vite (puerto 5173), Backend en servidor embebido Tomcat (puerto 8080) y Base de Datos en servicio MySQL (puerto 3306).</w:t>
      </w:r>
    </w:p>
    <w:p>
      <w:pPr>
        <w:pStyle w:val="ListBullet"/>
        <w:spacing w:after="80" w:line="276" w:lineRule="auto"/>
        <w:jc w:val="both"/>
      </w:pPr>
      <w:r>
        <w:rPr>
          <w:rFonts w:ascii="Calibri" w:hAnsi="Calibri"/>
          <w:b/>
          <w:color w:val="1E293B"/>
          <w:sz w:val="22"/>
        </w:rPr>
        <w:t>Fase 2 (Producción Cloud):</w:t>
      </w:r>
      <w:r>
        <w:rPr>
          <w:rFonts w:ascii="Calibri" w:hAnsi="Calibri"/>
          <w:color w:val="334155"/>
          <w:sz w:val="22"/>
        </w:rPr>
        <w:t xml:space="preserve"> Despliegue del backend encapsulado como contenedor Docker en plataformas PaaS de nube (Render o Railway), frontend alojado como Single Page Application distribuida en Red de Distribución de Contenido (CDN) mediante Vercel o AWS S3 + CloudFront, y base de datos relacional MySQL aprovisionada como servicio gestionado con SSL obligatorio.</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29. Topología de Despliegue de Infraestructura Cloud. </w:t>
            </w:r>
            <w:r>
              <w:rPr>
                <w:rFonts w:ascii="Calibri" w:hAnsi="Calibri"/>
                <w:i/>
                <w:color w:val="64748B"/>
                <w:sz w:val="20"/>
              </w:rPr>
              <w:t>Diagrama formal de arquitectura de despliegue que muestra la interacción entre el navegador cliente (HTTPS), el servicio CDN de Vercel para el Frontend, el contenedor Docker del Backend Spring Boot en Render y la base de datos gestionada MySQL con réplicas de respaldo.)</w:t>
            </w:r>
          </w:p>
        </w:tc>
      </w:tr>
    </w:tbl>
    <w:p>
      <w:pPr>
        <w:spacing w:before="40" w:after="120"/>
      </w:pPr>
    </w:p>
    <w:p>
      <w:pPr>
        <w:keepNext/>
        <w:spacing w:before="280" w:after="120"/>
      </w:pPr>
      <w:r>
        <w:rPr>
          <w:rFonts w:ascii="Arial" w:hAnsi="Arial"/>
          <w:b/>
          <w:color w:val="1E293B"/>
          <w:sz w:val="25"/>
        </w:rPr>
        <w:t>10.2. Preparación del entorno de producción</w:t>
      </w:r>
    </w:p>
    <w:p>
      <w:pPr>
        <w:spacing w:after="120" w:line="276" w:lineRule="auto"/>
        <w:jc w:val="both"/>
      </w:pPr>
      <w:r>
        <w:rPr>
          <w:rFonts w:ascii="Calibri" w:hAnsi="Calibri"/>
          <w:color w:val="334155"/>
          <w:sz w:val="22"/>
        </w:rPr>
        <w:t>Para la puesta en marcha en el entorno de producción se requiere la disponibilidad de los siguientes componentes base:</w:t>
      </w:r>
    </w:p>
    <w:p>
      <w:pPr>
        <w:pStyle w:val="ListBullet"/>
        <w:spacing w:after="80" w:line="276" w:lineRule="auto"/>
        <w:jc w:val="both"/>
      </w:pPr>
      <w:r>
        <w:rPr>
          <w:rFonts w:ascii="Calibri" w:hAnsi="Calibri"/>
          <w:b/>
          <w:color w:val="1E293B"/>
          <w:sz w:val="22"/>
        </w:rPr>
        <w:t>Sistema Operativo:</w:t>
      </w:r>
      <w:r>
        <w:rPr>
          <w:rFonts w:ascii="Calibri" w:hAnsi="Calibri"/>
          <w:color w:val="334155"/>
          <w:sz w:val="22"/>
        </w:rPr>
        <w:t xml:space="preserve"> Máquina virtual o contenedor Linux (Ubuntu Server 22.04 LTS o imagen Docker eclipse-temurin:21-jre-alpine).</w:t>
      </w:r>
    </w:p>
    <w:p>
      <w:pPr>
        <w:pStyle w:val="ListBullet"/>
        <w:spacing w:after="80" w:line="276" w:lineRule="auto"/>
        <w:jc w:val="both"/>
      </w:pPr>
      <w:r>
        <w:rPr>
          <w:rFonts w:ascii="Calibri" w:hAnsi="Calibri"/>
          <w:b/>
          <w:color w:val="1E293B"/>
          <w:sz w:val="22"/>
        </w:rPr>
        <w:t>Runtime Java:</w:t>
      </w:r>
      <w:r>
        <w:rPr>
          <w:rFonts w:ascii="Calibri" w:hAnsi="Calibri"/>
          <w:color w:val="334155"/>
          <w:sz w:val="22"/>
        </w:rPr>
        <w:t xml:space="preserve"> Java Runtime Environment (JRE) versión 21 de 64 bits.</w:t>
      </w:r>
    </w:p>
    <w:p>
      <w:pPr>
        <w:pStyle w:val="ListBullet"/>
        <w:spacing w:after="80" w:line="276" w:lineRule="auto"/>
        <w:jc w:val="both"/>
      </w:pPr>
      <w:r>
        <w:rPr>
          <w:rFonts w:ascii="Calibri" w:hAnsi="Calibri"/>
          <w:b/>
          <w:color w:val="1E293B"/>
          <w:sz w:val="22"/>
        </w:rPr>
        <w:t>Runtime Node.js:</w:t>
      </w:r>
      <w:r>
        <w:rPr>
          <w:rFonts w:ascii="Calibri" w:hAnsi="Calibri"/>
          <w:color w:val="334155"/>
          <w:sz w:val="22"/>
        </w:rPr>
        <w:t xml:space="preserve"> Node.js versión 22 LTS y gestor de paquetes npm para la fase de construcción (Build Stage).</w:t>
      </w:r>
    </w:p>
    <w:p>
      <w:pPr>
        <w:pStyle w:val="ListBullet"/>
        <w:spacing w:after="80" w:line="276" w:lineRule="auto"/>
        <w:jc w:val="both"/>
      </w:pPr>
      <w:r>
        <w:rPr>
          <w:rFonts w:ascii="Calibri" w:hAnsi="Calibri"/>
          <w:b/>
          <w:color w:val="1E293B"/>
          <w:sz w:val="22"/>
        </w:rPr>
        <w:t>Base de Datos:</w:t>
      </w:r>
      <w:r>
        <w:rPr>
          <w:rFonts w:ascii="Calibri" w:hAnsi="Calibri"/>
          <w:color w:val="334155"/>
          <w:sz w:val="22"/>
        </w:rPr>
        <w:t xml:space="preserve"> Instancia de base de datos MySQL Server 8.0 con motor InnoDB y memoria buffer pool configurada a un mínimo de 512 MB.</w:t>
      </w:r>
    </w:p>
    <w:p>
      <w:pPr>
        <w:keepNext/>
        <w:spacing w:before="280" w:after="120"/>
      </w:pPr>
      <w:r>
        <w:rPr>
          <w:rFonts w:ascii="Arial" w:hAnsi="Arial"/>
          <w:b/>
          <w:color w:val="1E293B"/>
          <w:sz w:val="25"/>
        </w:rPr>
        <w:t>10.3. Configuración del sistema</w:t>
      </w:r>
    </w:p>
    <w:p>
      <w:pPr>
        <w:spacing w:after="120" w:line="276" w:lineRule="auto"/>
        <w:jc w:val="both"/>
      </w:pPr>
      <w:r>
        <w:rPr>
          <w:rFonts w:ascii="Calibri" w:hAnsi="Calibri"/>
          <w:color w:val="334155"/>
          <w:sz w:val="22"/>
        </w:rPr>
        <w:t>La parametrización del sistema se realiza estrictamente a través de variables de entorno inyectadas en tiempo de inicialización:</w:t>
      </w:r>
    </w:p>
    <w:tbl>
      <w:tblPr>
        <w:tblW w:type="auto" w:w="0"/>
        <w:jc w:val="center"/>
        <w:tblLayout w:type="fixed"/>
        <w:tblLook w:firstColumn="1" w:firstRow="1" w:lastColumn="0" w:lastRow="0" w:noHBand="0" w:noVBand="1" w:val="04A0"/>
      </w:tblPr>
      <w:tblGrid>
        <w:gridCol w:w="3120"/>
        <w:gridCol w:w="3120"/>
        <w:gridCol w:w="3120"/>
      </w:tblGrid>
      <w:tr>
        <w:tc>
          <w:tcPr>
            <w:tcW w:type="dxa" w:w="2160"/>
            <w:tcMar>
              <w:top w:w="120" w:type="dxa"/>
              <w:bottom w:w="120" w:type="dxa"/>
              <w:left w:w="140" w:type="dxa"/>
              <w:right w:w="140" w:type="dxa"/>
            </w:tcMar>
            <w:shd w:fill="1E293B"/>
          </w:tcPr>
          <w:p>
            <w:pPr>
              <w:spacing w:before="60" w:after="60"/>
              <w:jc w:val="center"/>
            </w:pPr>
            <w:r>
              <w:rPr>
                <w:rFonts w:ascii="Calibri" w:hAnsi="Calibri"/>
                <w:b/>
                <w:color w:val="FFFFFF"/>
                <w:sz w:val="20"/>
              </w:rPr>
              <w:t>Variable de Entorno</w:t>
            </w:r>
          </w:p>
        </w:tc>
        <w:tc>
          <w:tcPr>
            <w:tcW w:type="dxa" w:w="3312"/>
            <w:tcMar>
              <w:top w:w="120" w:type="dxa"/>
              <w:bottom w:w="120" w:type="dxa"/>
              <w:left w:w="140" w:type="dxa"/>
              <w:right w:w="140" w:type="dxa"/>
            </w:tcMar>
            <w:shd w:fill="1E293B"/>
          </w:tcPr>
          <w:p>
            <w:pPr>
              <w:spacing w:before="60" w:after="60"/>
              <w:jc w:val="center"/>
            </w:pPr>
            <w:r>
              <w:rPr>
                <w:rFonts w:ascii="Calibri" w:hAnsi="Calibri"/>
                <w:b/>
                <w:color w:val="FFFFFF"/>
                <w:sz w:val="20"/>
              </w:rPr>
              <w:t>Descripción de Configuración</w:t>
            </w:r>
          </w:p>
        </w:tc>
        <w:tc>
          <w:tcPr>
            <w:tcW w:type="dxa" w:w="3888"/>
            <w:tcMar>
              <w:top w:w="120" w:type="dxa"/>
              <w:bottom w:w="120" w:type="dxa"/>
              <w:left w:w="140" w:type="dxa"/>
              <w:right w:w="140" w:type="dxa"/>
            </w:tcMar>
            <w:shd w:fill="1E293B"/>
          </w:tcPr>
          <w:p>
            <w:pPr>
              <w:spacing w:before="60" w:after="60"/>
              <w:jc w:val="center"/>
            </w:pPr>
            <w:r>
              <w:rPr>
                <w:rFonts w:ascii="Calibri" w:hAnsi="Calibri"/>
                <w:b/>
                <w:color w:val="FFFFFF"/>
                <w:sz w:val="20"/>
              </w:rPr>
              <w:t>Valor de Producción Sugerido</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SERVER_PORT</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Puerto de escucha del servidor web Spring Boot</w:t>
            </w:r>
          </w:p>
        </w:tc>
        <w:tc>
          <w:tcPr>
            <w:tcW w:type="dxa" w:w="388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8080 (o provisto dinámicamente por PaaS)</w:t>
            </w:r>
          </w:p>
        </w:tc>
      </w:tr>
      <w:tr>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DB_URL</w:t>
            </w:r>
          </w:p>
        </w:tc>
        <w:tc>
          <w:tcPr>
            <w:tcW w:type="dxa" w:w="331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Cadena de conexión JDBC hacia MySQL con SSL habilitado</w:t>
            </w:r>
          </w:p>
        </w:tc>
        <w:tc>
          <w:tcPr>
            <w:tcW w:type="dxa" w:w="388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jdbc:mysql://db.gtel.pe:3306/gtel_talento?useSSL=true</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DB_USERNAME</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Usuario de servicio con privilegios mínimos DML</w:t>
            </w:r>
          </w:p>
        </w:tc>
        <w:tc>
          <w:tcPr>
            <w:tcW w:type="dxa" w:w="388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gtel_app</w:t>
            </w:r>
          </w:p>
        </w:tc>
      </w:tr>
      <w:tr>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DB_PASSWORD</w:t>
            </w:r>
          </w:p>
        </w:tc>
        <w:tc>
          <w:tcPr>
            <w:tcW w:type="dxa" w:w="331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Contraseña criptográfica de alta entropía</w:t>
            </w:r>
          </w:p>
        </w:tc>
        <w:tc>
          <w:tcPr>
            <w:tcW w:type="dxa" w:w="388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ClaveSecretaProduccion2026!</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JWT_SECRET</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Clave base-64 de 256 bits para firma de tokens JWT</w:t>
            </w:r>
          </w:p>
        </w:tc>
        <w:tc>
          <w:tcPr>
            <w:tcW w:type="dxa" w:w="388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Generado criptográficamente mediante OpenSSL</w:t>
            </w:r>
          </w:p>
        </w:tc>
      </w:tr>
      <w:tr>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OTP_HASH_SECRET</w:t>
            </w:r>
          </w:p>
        </w:tc>
        <w:tc>
          <w:tcPr>
            <w:tcW w:type="dxa" w:w="331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Semilla secreta para sal y hash de códigos de correo</w:t>
            </w:r>
          </w:p>
        </w:tc>
        <w:tc>
          <w:tcPr>
            <w:tcW w:type="dxa" w:w="388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HashCriptograficoProduccion2026!</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MAIL_USERNAME</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Cuenta oficial emisora de notificaciones por correo</w:t>
            </w:r>
          </w:p>
        </w:tc>
        <w:tc>
          <w:tcPr>
            <w:tcW w:type="dxa" w:w="388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notificaciones@gtel.pe</w:t>
            </w:r>
          </w:p>
        </w:tc>
      </w:tr>
      <w:tr>
        <w:tc>
          <w:tcPr>
            <w:tcW w:type="dxa" w:w="2160"/>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MAIL_PASSWORD</w:t>
            </w:r>
          </w:p>
        </w:tc>
        <w:tc>
          <w:tcPr>
            <w:tcW w:type="dxa" w:w="3312"/>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Clave de aplicación SMTP provista por el servidor de correo</w:t>
            </w:r>
          </w:p>
        </w:tc>
        <w:tc>
          <w:tcPr>
            <w:tcW w:type="dxa" w:w="3888"/>
            <w:tcMar>
              <w:top w:w="120" w:type="dxa"/>
              <w:bottom w:w="120" w:type="dxa"/>
              <w:left w:w="140" w:type="dxa"/>
              <w:right w:w="140" w:type="dxa"/>
            </w:tcMar>
            <w:shd w:fill="F8FAFC"/>
            <w:tcBorders>
              <w:top w:val="single" w:sz="4" w:space="0" w:color="E2E8F0"/>
              <w:left w:val="none"/>
              <w:bottom w:val="single" w:sz="4" w:space="0" w:color="E2E8F0"/>
              <w:right w:val="none"/>
            </w:tcBorders>
          </w:tcPr>
          <w:p>
            <w:pPr>
              <w:spacing w:before="40" w:after="40"/>
            </w:pPr>
            <w:r>
              <w:rPr>
                <w:rFonts w:ascii="Calibri" w:hAnsi="Calibri"/>
                <w:color w:val="334155"/>
                <w:sz w:val="19"/>
              </w:rPr>
              <w:t>ContraseñaDeServicioApp16Digitos</w:t>
            </w:r>
          </w:p>
        </w:tc>
      </w:tr>
      <w:tr>
        <w:tc>
          <w:tcPr>
            <w:tcW w:type="dxa" w:w="2160"/>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VITE_API_URL</w:t>
            </w:r>
          </w:p>
        </w:tc>
        <w:tc>
          <w:tcPr>
            <w:tcW w:type="dxa" w:w="3312"/>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URL base pública expuesta por el backend para el frontend</w:t>
            </w:r>
          </w:p>
        </w:tc>
        <w:tc>
          <w:tcPr>
            <w:tcW w:type="dxa" w:w="3888"/>
            <w:tcMar>
              <w:top w:w="120" w:type="dxa"/>
              <w:bottom w:w="120" w:type="dxa"/>
              <w:left w:w="140" w:type="dxa"/>
              <w:right w:w="140" w:type="dxa"/>
            </w:tcMar>
            <w:shd w:fill="FFFFFF"/>
            <w:tcBorders>
              <w:top w:val="single" w:sz="4" w:space="0" w:color="E2E8F0"/>
              <w:left w:val="none"/>
              <w:bottom w:val="single" w:sz="4" w:space="0" w:color="E2E8F0"/>
              <w:right w:val="none"/>
            </w:tcBorders>
          </w:tcPr>
          <w:p>
            <w:pPr>
              <w:spacing w:before="40" w:after="40"/>
            </w:pPr>
            <w:r>
              <w:rPr>
                <w:rFonts w:ascii="Calibri" w:hAnsi="Calibri"/>
                <w:color w:val="334155"/>
                <w:sz w:val="19"/>
              </w:rPr>
              <w:t>https://api.talento.gtel.pe</w:t>
            </w:r>
          </w:p>
        </w:tc>
      </w:tr>
    </w:tbl>
    <w:p>
      <w:pPr>
        <w:spacing w:before="40" w:after="120"/>
      </w:pPr>
    </w:p>
    <w:p>
      <w:pPr>
        <w:keepNext/>
        <w:spacing w:before="280" w:after="120"/>
      </w:pPr>
      <w:r>
        <w:rPr>
          <w:rFonts w:ascii="Arial" w:hAnsi="Arial"/>
          <w:b/>
          <w:color w:val="1E293B"/>
          <w:sz w:val="25"/>
        </w:rPr>
        <w:t>10.4. Publicación de la aplicación paso a paso</w:t>
      </w:r>
    </w:p>
    <w:p>
      <w:pPr>
        <w:pStyle w:val="ListBullet"/>
        <w:spacing w:after="80" w:line="276" w:lineRule="auto"/>
        <w:jc w:val="both"/>
      </w:pPr>
      <w:r>
        <w:rPr>
          <w:rFonts w:ascii="Calibri" w:hAnsi="Calibri"/>
          <w:b/>
          <w:color w:val="1E293B"/>
          <w:sz w:val="22"/>
        </w:rPr>
        <w:t>1. Compilación del Backend:</w:t>
      </w:r>
      <w:r>
        <w:rPr>
          <w:rFonts w:ascii="Calibri" w:hAnsi="Calibri"/>
          <w:color w:val="334155"/>
          <w:sz w:val="22"/>
        </w:rPr>
        <w:t xml:space="preserve"> En la raíz de la carpeta backend, ejecutar: mvn clean package -DskipTests. Se generará el artefacto ejecutable gtel-talento-backend-0.0.1-SNAPSHOT.jar en el directorio target/.</w:t>
      </w:r>
    </w:p>
    <w:p>
      <w:pPr>
        <w:pStyle w:val="ListBullet"/>
        <w:spacing w:after="80" w:line="276" w:lineRule="auto"/>
        <w:jc w:val="both"/>
      </w:pPr>
      <w:r>
        <w:rPr>
          <w:rFonts w:ascii="Calibri" w:hAnsi="Calibri"/>
          <w:b/>
          <w:color w:val="1E293B"/>
          <w:sz w:val="22"/>
        </w:rPr>
        <w:t>2. Compilación del Frontend:</w:t>
      </w:r>
      <w:r>
        <w:rPr>
          <w:rFonts w:ascii="Calibri" w:hAnsi="Calibri"/>
          <w:color w:val="334155"/>
          <w:sz w:val="22"/>
        </w:rPr>
        <w:t xml:space="preserve"> En la raíz de la carpeta frontend, ejecutar npm ci seguido de npm run build. El compilador Vite empaquetará los artefactos minificados y optimizados en la carpeta dist/.</w:t>
      </w:r>
    </w:p>
    <w:p>
      <w:pPr>
        <w:pStyle w:val="ListBullet"/>
        <w:spacing w:after="80" w:line="276" w:lineRule="auto"/>
        <w:jc w:val="both"/>
      </w:pPr>
      <w:r>
        <w:rPr>
          <w:rFonts w:ascii="Calibri" w:hAnsi="Calibri"/>
          <w:b/>
          <w:color w:val="1E293B"/>
          <w:sz w:val="22"/>
        </w:rPr>
        <w:t>3. Puesta en Operación del Backend:</w:t>
      </w:r>
      <w:r>
        <w:rPr>
          <w:rFonts w:ascii="Calibri" w:hAnsi="Calibri"/>
          <w:color w:val="334155"/>
          <w:sz w:val="22"/>
        </w:rPr>
        <w:t xml:space="preserve"> Inicializar el servicio backend mediante: java -jar -Dspring.profiles.active=prod target/gtel-talento-backend-0.0.1-SNAPSHOT.jar. Configurar un gestor de procesos como Systemd o Supervisor para garantizar el reinicio automático ante fallas.</w:t>
      </w:r>
    </w:p>
    <w:p>
      <w:pPr>
        <w:pStyle w:val="ListBullet"/>
        <w:spacing w:after="80" w:line="276" w:lineRule="auto"/>
        <w:jc w:val="both"/>
      </w:pPr>
      <w:r>
        <w:rPr>
          <w:rFonts w:ascii="Calibri" w:hAnsi="Calibri"/>
          <w:b/>
          <w:color w:val="1E293B"/>
          <w:sz w:val="22"/>
        </w:rPr>
        <w:t>4. Publicación Web del Frontend:</w:t>
      </w:r>
      <w:r>
        <w:rPr>
          <w:rFonts w:ascii="Calibri" w:hAnsi="Calibri"/>
          <w:color w:val="334155"/>
          <w:sz w:val="22"/>
        </w:rPr>
        <w:t xml:space="preserve"> Configurar un servidor Nginx con directiva try_files $uri $uri/ /index.html; para servir los archivos estáticos de la carpeta dist/ y asegurar el enrutamiento del lado del cliente de React Router.</w:t>
      </w:r>
    </w:p>
    <w:p>
      <w:pPr>
        <w:keepNext/>
        <w:spacing w:before="280" w:after="120"/>
      </w:pPr>
      <w:r>
        <w:rPr>
          <w:rFonts w:ascii="Arial" w:hAnsi="Arial"/>
          <w:b/>
          <w:color w:val="1E293B"/>
          <w:sz w:val="25"/>
        </w:rPr>
        <w:t>10.5. Configuración de la base de datos en producción</w:t>
      </w:r>
    </w:p>
    <w:p>
      <w:pPr>
        <w:spacing w:after="120" w:line="276" w:lineRule="auto"/>
        <w:jc w:val="both"/>
      </w:pPr>
      <w:r>
        <w:rPr>
          <w:rFonts w:ascii="Calibri" w:hAnsi="Calibri"/>
          <w:color w:val="334155"/>
          <w:sz w:val="22"/>
        </w:rPr>
        <w:t>El aprovisionamiento de la base de datos se realiza en un servidor MySQL limpio ejecutando de forma secuencial:</w:t>
      </w:r>
    </w:p>
    <w:p>
      <w:pPr>
        <w:pStyle w:val="ListBullet"/>
        <w:spacing w:after="80" w:line="276" w:lineRule="auto"/>
        <w:jc w:val="both"/>
      </w:pPr>
      <w:r>
        <w:rPr>
          <w:rFonts w:ascii="Calibri" w:hAnsi="Calibri"/>
          <w:b/>
          <w:color w:val="1E293B"/>
          <w:sz w:val="22"/>
        </w:rPr>
        <w:t>Paso 1:</w:t>
      </w:r>
      <w:r>
        <w:rPr>
          <w:rFonts w:ascii="Calibri" w:hAnsi="Calibri"/>
          <w:color w:val="334155"/>
          <w:sz w:val="22"/>
        </w:rPr>
        <w:t xml:space="preserve"> Creación del esquema base con codificación utf8mb4: CREATE DATABASE gtel_talento CHARACTER SET utf8mb4 COLLATE utf8mb4_unicode_ci;.</w:t>
      </w:r>
    </w:p>
    <w:p>
      <w:pPr>
        <w:pStyle w:val="ListBullet"/>
        <w:spacing w:after="80" w:line="276" w:lineRule="auto"/>
        <w:jc w:val="both"/>
      </w:pPr>
      <w:r>
        <w:rPr>
          <w:rFonts w:ascii="Calibri" w:hAnsi="Calibri"/>
          <w:b/>
          <w:color w:val="1E293B"/>
          <w:sz w:val="22"/>
        </w:rPr>
        <w:t>Paso 2:</w:t>
      </w:r>
      <w:r>
        <w:rPr>
          <w:rFonts w:ascii="Calibri" w:hAnsi="Calibri"/>
          <w:color w:val="334155"/>
          <w:sz w:val="22"/>
        </w:rPr>
        <w:t xml:space="preserve"> Importación del script estructural de 13 tablas: mysql -u root -p gtel_talento &lt; backend/database/schema/gtel_talento.sql.</w:t>
      </w:r>
    </w:p>
    <w:p>
      <w:pPr>
        <w:pStyle w:val="ListBullet"/>
        <w:spacing w:after="80" w:line="276" w:lineRule="auto"/>
        <w:jc w:val="both"/>
      </w:pPr>
      <w:r>
        <w:rPr>
          <w:rFonts w:ascii="Calibri" w:hAnsi="Calibri"/>
          <w:b/>
          <w:color w:val="1E293B"/>
          <w:sz w:val="22"/>
        </w:rPr>
        <w:t>Paso 3:</w:t>
      </w:r>
      <w:r>
        <w:rPr>
          <w:rFonts w:ascii="Calibri" w:hAnsi="Calibri"/>
          <w:color w:val="334155"/>
          <w:sz w:val="22"/>
        </w:rPr>
        <w:t xml:space="preserve"> Ejecución en orden cronológico estricto de las migraciones SQL (001, 002 y 003).</w:t>
      </w:r>
    </w:p>
    <w:p>
      <w:pPr>
        <w:pStyle w:val="ListBullet"/>
        <w:spacing w:after="80" w:line="276" w:lineRule="auto"/>
        <w:jc w:val="both"/>
      </w:pPr>
      <w:r>
        <w:rPr>
          <w:rFonts w:ascii="Calibri" w:hAnsi="Calibri"/>
          <w:b/>
          <w:color w:val="1E293B"/>
          <w:sz w:val="22"/>
        </w:rPr>
        <w:t>Paso 4:</w:t>
      </w:r>
      <w:r>
        <w:rPr>
          <w:rFonts w:ascii="Calibri" w:hAnsi="Calibri"/>
          <w:color w:val="334155"/>
          <w:sz w:val="22"/>
        </w:rPr>
        <w:t xml:space="preserve"> Creación del usuario de aplicación gtel_app y asignación exclusiva de privilegios DML.</w:t>
      </w:r>
    </w:p>
    <w:p>
      <w:pPr>
        <w:keepNext/>
        <w:spacing w:before="280" w:after="120"/>
      </w:pPr>
      <w:r>
        <w:rPr>
          <w:rFonts w:ascii="Arial" w:hAnsi="Arial"/>
          <w:b/>
          <w:color w:val="1E293B"/>
          <w:sz w:val="25"/>
        </w:rPr>
        <w:t>10.6. Monitoreo del sistema en producción</w:t>
      </w:r>
    </w:p>
    <w:p>
      <w:pPr>
        <w:spacing w:after="120" w:line="276" w:lineRule="auto"/>
        <w:jc w:val="both"/>
      </w:pPr>
      <w:r>
        <w:rPr>
          <w:rFonts w:ascii="Calibri" w:hAnsi="Calibri"/>
          <w:color w:val="334155"/>
          <w:sz w:val="22"/>
        </w:rPr>
        <w:t>Se establece un monitoreo proactivo basado en sondas de disponibilidad periódicas dirigidas al endpoint /api/health y /actuator/health cada 60 segundos. Si la respuesta difiere de HTTP 200 OK o el estado reportado no es UP, el sistema de alertas de infraestructura notifica de inmediato al equipo de operaciones.</w:t>
      </w:r>
    </w:p>
    <w:p>
      <w:pPr>
        <w:keepNext/>
        <w:spacing w:before="280" w:after="120"/>
      </w:pPr>
      <w:r>
        <w:rPr>
          <w:rFonts w:ascii="Arial" w:hAnsi="Arial"/>
          <w:b/>
          <w:color w:val="1E293B"/>
          <w:sz w:val="25"/>
        </w:rPr>
        <w:t>10.7. Gestión y control de incidencias</w:t>
      </w:r>
    </w:p>
    <w:p>
      <w:pPr>
        <w:spacing w:after="120" w:line="276" w:lineRule="auto"/>
        <w:jc w:val="both"/>
      </w:pPr>
      <w:r>
        <w:rPr>
          <w:rFonts w:ascii="Calibri" w:hAnsi="Calibri"/>
          <w:color w:val="334155"/>
          <w:sz w:val="22"/>
        </w:rPr>
        <w:t>El ciclo de vida de atención ante anomalías se formaliza mediante el flujo de gestión ágil de incidencias:</w:t>
      </w:r>
    </w:p>
    <w:p>
      <w:pPr>
        <w:pStyle w:val="ListBullet"/>
        <w:spacing w:after="80" w:line="276" w:lineRule="auto"/>
        <w:jc w:val="both"/>
      </w:pPr>
      <w:r>
        <w:rPr>
          <w:rFonts w:ascii="Calibri" w:hAnsi="Calibri"/>
          <w:b/>
          <w:color w:val="1E293B"/>
          <w:sz w:val="22"/>
        </w:rPr>
        <w:t>1. Detección:</w:t>
      </w:r>
      <w:r>
        <w:rPr>
          <w:rFonts w:ascii="Calibri" w:hAnsi="Calibri"/>
          <w:color w:val="334155"/>
          <w:sz w:val="22"/>
        </w:rPr>
        <w:t xml:space="preserve"> Identificación de fallas mediante logs de error de Logback o reportes de usuarios en el tablero Jira del proyecto.</w:t>
      </w:r>
    </w:p>
    <w:p>
      <w:pPr>
        <w:pStyle w:val="ListBullet"/>
        <w:spacing w:after="80" w:line="276" w:lineRule="auto"/>
        <w:jc w:val="both"/>
      </w:pPr>
      <w:r>
        <w:rPr>
          <w:rFonts w:ascii="Calibri" w:hAnsi="Calibri"/>
          <w:b/>
          <w:color w:val="1E293B"/>
          <w:sz w:val="22"/>
        </w:rPr>
        <w:t>2. Triage:</w:t>
      </w:r>
      <w:r>
        <w:rPr>
          <w:rFonts w:ascii="Calibri" w:hAnsi="Calibri"/>
          <w:color w:val="334155"/>
          <w:sz w:val="22"/>
        </w:rPr>
        <w:t xml:space="preserve"> Clasificación de severidad: Bloqueante (servicio caído o fallo de autenticación), Alta (degradación en postulación), Media (inconsistencias visuales) y Baja (ajustes de texto).</w:t>
      </w:r>
    </w:p>
    <w:p>
      <w:pPr>
        <w:pStyle w:val="ListBullet"/>
        <w:spacing w:after="80" w:line="276" w:lineRule="auto"/>
        <w:jc w:val="both"/>
      </w:pPr>
      <w:r>
        <w:rPr>
          <w:rFonts w:ascii="Calibri" w:hAnsi="Calibri"/>
          <w:b/>
          <w:color w:val="1E293B"/>
          <w:sz w:val="22"/>
        </w:rPr>
        <w:t>3. Corrección:</w:t>
      </w:r>
      <w:r>
        <w:rPr>
          <w:rFonts w:ascii="Calibri" w:hAnsi="Calibri"/>
          <w:color w:val="334155"/>
          <w:sz w:val="22"/>
        </w:rPr>
        <w:t xml:space="preserve"> Creación obligatoria de una rama Git fix/identificador-incidencia derivada de develop. Prohibición de aplicar modificaciones directas sobre la rama main.</w:t>
      </w:r>
    </w:p>
    <w:p>
      <w:pPr>
        <w:pStyle w:val="ListBullet"/>
        <w:spacing w:after="80" w:line="276" w:lineRule="auto"/>
        <w:jc w:val="both"/>
      </w:pPr>
      <w:r>
        <w:rPr>
          <w:rFonts w:ascii="Calibri" w:hAnsi="Calibri"/>
          <w:b/>
          <w:color w:val="1E293B"/>
          <w:sz w:val="22"/>
        </w:rPr>
        <w:t>4. Verificación y Cierre:</w:t>
      </w:r>
      <w:r>
        <w:rPr>
          <w:rFonts w:ascii="Calibri" w:hAnsi="Calibri"/>
          <w:color w:val="334155"/>
          <w:sz w:val="22"/>
        </w:rPr>
        <w:t xml:space="preserve"> Validación local con suites de pruebas unitarias y de integración, emisión de Pull Request y fusión aprobada hacia develop.</w:t>
      </w:r>
    </w:p>
    <w:p>
      <w:pPr>
        <w:keepNext/>
        <w:spacing w:before="280" w:after="120"/>
      </w:pPr>
      <w:r>
        <w:rPr>
          <w:rFonts w:ascii="Arial" w:hAnsi="Arial"/>
          <w:b/>
          <w:color w:val="1E293B"/>
          <w:sz w:val="25"/>
        </w:rPr>
        <w:t>10.8. Evidencias del despliegue</w:t>
      </w:r>
    </w:p>
    <w:p>
      <w:pPr>
        <w:spacing w:after="120" w:line="276" w:lineRule="auto"/>
        <w:jc w:val="both"/>
      </w:pPr>
      <w:r>
        <w:rPr>
          <w:rFonts w:ascii="Calibri" w:hAnsi="Calibri"/>
          <w:color w:val="334155"/>
          <w:sz w:val="22"/>
        </w:rPr>
        <w:t>A continuación se detallan las evidencias visuales que certifican el correcto despliegue y operatividad de la solución tecnológica:</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30. Verificación de Salud del Backend (/api/health). </w:t>
            </w:r>
            <w:r>
              <w:rPr>
                <w:rFonts w:ascii="Calibri" w:hAnsi="Calibri"/>
                <w:i/>
                <w:color w:val="64748B"/>
                <w:sz w:val="20"/>
              </w:rPr>
              <w:t>Captura de pantalla del navegador web y consola cURL realizando una petición HTTP GET a http://localhost:8080/api/health y recibiendo la respuesta JSON confirmatoria {'status':'UP'} con código HTTP 200 OK.)</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18" w:space="0" w:color="D32F2F"/>
              <w:bottom w:val="single" w:sz="6" w:space="0" w:color="CBD5E1"/>
              <w:right w:val="single" w:sz="6" w:space="0" w:color="CBD5E1"/>
            </w:tcBorders>
          </w:tcPr>
          <w:p>
            <w:pPr>
              <w:spacing w:before="120" w:after="120"/>
              <w:jc w:val="left"/>
            </w:pPr>
            <w:r>
              <w:rPr>
                <w:rFonts w:ascii="Calibri" w:hAnsi="Calibri"/>
                <w:b/>
                <w:color w:val="D32F2F"/>
                <w:sz w:val="20"/>
              </w:rPr>
              <w:t xml:space="preserve">(Aquí va una imagen de: </w:t>
            </w:r>
            <w:r>
              <w:rPr>
                <w:rFonts w:ascii="Calibri" w:hAnsi="Calibri"/>
                <w:b/>
                <w:color w:val="1E293B"/>
                <w:sz w:val="20"/>
              </w:rPr>
              <w:t xml:space="preserve">Figura 31. Frontend y Backend Operativos en Entorno Integrado. </w:t>
            </w:r>
            <w:r>
              <w:rPr>
                <w:rFonts w:ascii="Calibri" w:hAnsi="Calibri"/>
                <w:i/>
                <w:color w:val="64748B"/>
                <w:sz w:val="20"/>
              </w:rPr>
              <w:t>Captura de pantalla completa de escritorio mostrando dos terminales en ejecución (backend Spring Boot en puerto 8080 y frontend Vite en puerto 5173) junto a la ventana del navegador renderizando la página principal de GTEL Talento con el catálogo de ofertas laborales.)</w:t>
            </w:r>
          </w:p>
        </w:tc>
      </w:tr>
    </w:tbl>
    <w:p>
      <w:pPr>
        <w:spacing w:before="4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