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Integral y Despliegue Estratégico de 'BeZhas Food Oracle': Revolución en la Trazabilidad Agroalimentaria mediante Visión Artificial, Edge AI y Finanzas Descentralizadas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convergencia de la inteligencia artificial generativa, la visión por computadora de ultra baja latencia y las finanzas descentralizadas (DeFi) representa el punto de inflexión más significativo en la gestión de la cadena de suministro global desde la adopción del contenedor estandarizado. En la era contemporánea de la Logística 4.0, el rastreo de un producto físico ha trascendido la mera geolocalización basada en coordenadas satelitales; la industria exige actualmente una comprensión semántica profunda del estado cualitativo, la integridad estructural y el valor biológico inherente del activo en cada nodo de transferencia comercial.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Dentro de este paradigma disruptivo emerge el ecosistema BeZhas, una plataforma Web3 integral diseñada metodológicamente para desmantelar los modelos de explotación de datos tradicionales y establecer un nuevo estándar de soberanía digital y confianza industrial automatizada.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núcleo de esta transformación industrial se encuentra el desarrollo y la implementación de una aplicación móvil hiper-especializada denominada 'BeZhas Food Oracle'. Esta SubApp actúa como un oráculo criptográfico de escrutinio sanitario y de control de calidad agrícola, diseñado de manera específica para garantizar la trazabilidad inquebrantable de la cadena de frío y ejecutar la tasación de biomasa en tiempo real. Operando sobre hardware móvil estándar pero potenciada por algoritmos avanzados de Inteligencia Artificial en el borde (Edge AI) y modelos fundacionales multimodales como Gemini 1.5 Pro, la aplicación escanea productos frutihortícolas para calcular su volumen tridimensional neto, estimar perfiles nutricionales complejos y detectar firmas visuales microscópicas de putrefacción prematura o enfermedades fúngicas.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detección de estas anomalías biológicas, indicativas de una ruptura térmica o de manipulación negligente, genera una alerta algorítmica determinista que interactúa directamente con contratos inteligentes en la cadena de bloques, desencadenando la paralización inmediata y automática de los fondos en depósito (escrow) destinados a proveedores defectuosos.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presente informe de investigación despliega un análisis exhaustivo sobre la arquitectura tecnológica, el diseño de sistemas de múltiples capas, las funcionalidades operativas y los modelos algorítmicos y económicos que sustentan la plataforma BeZhas y su SubApp Food Oracle. La sinergia de estos componentes establece una infraestructura donde la documentación de la realidad física se traduce matemáticamente en la ejecución de acciones financieras autónomas, eliminando la fricción burocrática y redefiniendo las reglas del comercio agroalimentario internacional.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Fundamentos Estructurales del Ecosistema BeZhas y la Economía Web3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comprender la viabilidad técnica y la escalabilidad comercial de la aplicación Food Oracle, es imperativo analizar rigurosamente la infraestructura fundacional sobre la cual opera. BeZhas se conceptualiza no solo como una red social descentralizada, sino como un sistema operativo holístico de confianza industrial Web3.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diagnóstico subyacente que motiva su creación es la obsolescencia y toxicidad de las plataformas tradicionales, las cuales operan bajo un modelo extractivo donde la información del usuario, su contenido y su atención son comercializados sin consentimiento explícito, generando economías injustas, burbujas de censura y vulnerabilidades críticas de privacidad.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Frente a este modelo, BeZhas propone una arquitectura verticalmente integrada que resuelve los problemas de confianza mediante la descentralización. La plataforma se erige como un centro de operaciones digital que amalgama redes de comunicación encriptadas de extremo a extremo, un mercado digital (marketplace) descentralizado para la comercialización de bienes y servicios, una academia de aprendizaje impulsada por la comunidad, y una suite nativa de herramientas de inteligencia artificial generativa.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Tokenomics y la Utilidad Estratégica del BEZ-Coin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ecosistema económico de la plataforma y de todas sus aplicaciones derivadas, incluyendo el Food Oracle, está motorizado por su criptomoneda nativa: el BEZ-Coin (frecuentemente referenciado bajo los </w:t>
      </w:r>
      <w:r w:rsidDel="00000000" w:rsidR="00000000" w:rsidRPr="00000000">
        <w:rPr>
          <w:rFonts w:ascii="Google Sans" w:cs="Google Sans" w:eastAsia="Google Sans" w:hAnsi="Google Sans"/>
          <w:i w:val="1"/>
          <w:iCs w:val="1"/>
          <w:color w:val="1f1f1f"/>
          <w:rtl w:val="0"/>
        </w:rPr>
        <w:t xml:space="preserve">tickers</w:t>
      </w:r>
      <w:r w:rsidDel="00000000" w:rsidR="00000000" w:rsidRPr="00000000">
        <w:rPr>
          <w:rFonts w:ascii="Google Sans" w:cs="Google Sans" w:eastAsia="Google Sans" w:hAnsi="Google Sans"/>
          <w:color w:val="1f1f1f"/>
          <w:rtl w:val="0"/>
        </w:rPr>
        <w:t xml:space="preserve"> $BEZ o BZH).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diseño de la economía del token (</w:t>
      </w:r>
      <w:r w:rsidDel="00000000" w:rsidR="00000000" w:rsidRPr="00000000">
        <w:rPr>
          <w:rFonts w:ascii="Google Sans" w:cs="Google Sans" w:eastAsia="Google Sans" w:hAnsi="Google Sans"/>
          <w:i w:val="1"/>
          <w:iCs w:val="1"/>
          <w:color w:val="1f1f1f"/>
          <w:rtl w:val="0"/>
        </w:rPr>
        <w:t xml:space="preserve">tokenomics</w:t>
      </w:r>
      <w:r w:rsidDel="00000000" w:rsidR="00000000" w:rsidRPr="00000000">
        <w:rPr>
          <w:rFonts w:ascii="Google Sans" w:cs="Google Sans" w:eastAsia="Google Sans" w:hAnsi="Google Sans"/>
          <w:color w:val="1f1f1f"/>
          <w:rtl w:val="0"/>
        </w:rPr>
        <w:t xml:space="preserve">) trasciende la mera especulación, incrustando el BEZ-Coin en cada interacción de valor dentro de la red. La liquidez estructural de este criptoactivo está directamente respaldada por los flujos de ingresos diversificados y sostenibles generados por la red operativa, que incluyen suscripciones a niveles premium, venta directa de publicidad, y comisiones transaccionales del comercio de productos.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Las proyecciones financieras del ecosistema estiman ingresos escalables que, a lo largo de un horizonte de cinco años, podrían alcanzar y superar los 1.8 millones de euros anuales, sustentando una base sólida de liquidez para el token.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versatilidad funcional del BEZ-Coin dentro de la arquitectura general y específica del sector logístico se clasifica en varias dimensiones críticas que aseguran la velocidad de circulación y la retención de valor en la red.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Operativa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Utilidad del BEZ-Coin en el Ecosistema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Específico en el Food Oracle y la Logística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Intercambio y Liquidación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Actúa como medio de pago prioritario para transacciones instantáneas y económicas en el marketplace de bienes físicos y digitales.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 la liquidación transfronteriza inmediata a los agricultores tras la validación de calidad, eludiendo las demoras del sistema bancario SWIFT.</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Financiación de Computación (IA)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Implementa un modelo de pago por uso mediante créditos de $BEZ para acceder a la suite de inteligencia artificial (generación y análisis).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Financia el costo computacional de las llamadas a la API de modelos pesados como Gemini 1.5 Pro para la inferencia volumétrica y nutricional profunda.</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Capitalización y Rendimiento (DeFi)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Integración con un Hub DeFi nativo que permite a los tenedores realizar </w:t>
            </w:r>
            <w:r w:rsidDel="00000000" w:rsidR="00000000" w:rsidRPr="00000000">
              <w:rPr>
                <w:rFonts w:ascii="Google Sans" w:cs="Google Sans" w:eastAsia="Google Sans" w:hAnsi="Google Sans"/>
                <w:i w:val="1"/>
                <w:iCs w:val="1"/>
                <w:color w:val="1f1f1f"/>
                <w:shd w:fill="auto" w:val="clear"/>
                <w:rtl w:val="0"/>
              </w:rPr>
              <w:t xml:space="preserve">staking</w:t>
            </w:r>
            <w:r w:rsidDel="00000000" w:rsidR="00000000" w:rsidRPr="00000000">
              <w:rPr>
                <w:rFonts w:ascii="Google Sans" w:cs="Google Sans" w:eastAsia="Google Sans" w:hAnsi="Google Sans"/>
                <w:color w:val="1f1f1f"/>
                <w:shd w:fill="auto" w:val="clear"/>
                <w:rtl w:val="0"/>
              </w:rPr>
              <w:t xml:space="preserve"> y proveer liquidez (</w:t>
            </w:r>
            <w:r w:rsidDel="00000000" w:rsidR="00000000" w:rsidRPr="00000000">
              <w:rPr>
                <w:rFonts w:ascii="Google Sans" w:cs="Google Sans" w:eastAsia="Google Sans" w:hAnsi="Google Sans"/>
                <w:i w:val="1"/>
                <w:iCs w:val="1"/>
                <w:color w:val="1f1f1f"/>
                <w:shd w:fill="auto" w:val="clear"/>
                <w:rtl w:val="0"/>
              </w:rPr>
              <w:t xml:space="preserve">liquidity farming</w:t>
            </w:r>
            <w:r w:rsidDel="00000000" w:rsidR="00000000" w:rsidRPr="00000000">
              <w:rPr>
                <w:rFonts w:ascii="Google Sans" w:cs="Google Sans" w:eastAsia="Google Sans" w:hAnsi="Google Sans"/>
                <w:color w:val="1f1f1f"/>
                <w:shd w:fill="auto" w:val="clear"/>
                <w:rtl w:val="0"/>
              </w:rPr>
              <w:t xml:space="preserve">) para obtener rendimientos.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a los consorcios logísticos crear reservas de liquidez que actúan como seguros descentralizados contra la pérdida masiva de cosechas o roturas de la cadena de frío.</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Incentivación y Gamificación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Distribución de tokens como recompensa por la participación activa, misiones completadas, acumulación de experiencia (XP) y escalada de rangos.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Retribuye a los operarios de almacén o inspectores aduaneros por realizar escaneos consistentes y de alta fidelidad, asegurando un flujo de datos constante para el entrenamiento de los modelos.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Identidad Auto-soberana (SSIaaS) y Modelos de Reputación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 los activos físicos al entorno blockchain requiere un ancla de confianza absoluta. La arquitectura de BeZhas satisface esta necesidad mediante la implementación de una Identidad Auto-soberana como Servicio (SSIaaS). Este marco asegura que la interacción no dependa de credenciales centralizadas vulnerables, sino de Identificadores Descentralizados (DID) y Credenciales Verificables (VC).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contexto operativo, esto significa que cuando un lote de alimentos es escaneado por el Food Oracle, el sistema criptográfico vincula unívocamente el resultado de la inspección de inteligencia artificial con el DID inmutable del inspector, el dispositivo de hardware geocercado, y la entidad corporativa responsable. Simultáneamente, el protocolo BeZhas emplea un modelo de consenso basado en la Prueba de Reputación (Proof-of-Reputation, PoR).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Este sistema de reputación digital y crédito social descentralizado cuantifica el historial de cumplimiento de los actores; un agricultor que consistentemente entrega productos con biomasa precisa y nula contaminación fúngica incrementa su reputación algorítmica, lo que a su vez se traduce en menores costos de aseguramiento de contratos inteligentes y mayor visibilidad en el ecosistema comercial.</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Transición a la Gobernanza Descentralizada (DAO)</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pilar ideológico y estructural de BeZhas radica en su rechazo a las jerarquías corporativas opacas, delegando la dirección estratégica del protocolo a una Organización Autónoma Descentralizada (DAO).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esta estructura, los poseedores del token $BEZ ostentan derechos de gobernanza proporcionales a su participación, otorgándoles la capacidad real y vinculante de proponer actualizaciones algorítmicas, votar sobre políticas de moderación y administrar la asignación de capital de la tesorería comunitaria.</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despliegue de esta gobernanza sigue una hoja de ruta meticulosa. Durante la "Fase 0: Génesis", se desarrollan los contratos inteligentes fundamentales y el modelo matemático de tokenomics.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"Fase 1: Alba" atestigua el Evento de Generación de Token (TGE), el lanzamiento de la red principal (Mainnet) y la creación del esqueleto fundacional de la DAO.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Al alcanzar la "Fase 2: Conexión", el equipo fundador inicia la transferencia de prerrogativas operativas hacia la comunidad.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objetivo final, denominado "Singularidad" en la Fase 4, proyecta una descentralización absoluta donde el núcleo desarrollador original se disuelve formalmente para integrarse como un nodo contribuyente más, garantizando que el futuro de la plataforma, y de herramientas críticas como el Food Oracle, resida exclusivamente en el consenso de sus usuarios.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 prevé además la articulación de Sub-DAOs, lo cual permitiría que sectores específicos—tales como federaciones de exportadores agrícolas—gobiernen de forma autónoma los umbrales de calidad y las reglas de trazabilidad aplicables exclusivamente a sus corredores logísticos.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Arquitectura Tecnológica Híbrida del Food Oracle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construcción de un oráculo capaz de interpretar el mundo físico, analizarlo con rigor científico y vincular sus conclusiones a una red blockchain exige una ingeniería de sistemas de extrema complejidad. El 'BeZhas Food Oracle' rechaza la dependencia exclusiva de arquitecturas basadas en la nube, las cuales son inviables en entornos agrícolas remotos o almacenes subterráneos con conectividad intermitente.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En su lugar, despliega una arquitectura de software híbrida estructurada en cuatro capas concéntricas que distribuyen la carga computacional de manera asimétrica y optimizada.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Capa de Adquisición Sensorial Multisensor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sustrato físico del sistema recae en los componentes de hardware del dispositivo móvil del inspector. El paradigma ha evolucionado drásticamente gracias a la democratización de sensores avanzados en la telefonía comercial. La capa de adquisición captura la realidad fenotípica del lote agrícola no solo a través de ópticas RGB de alta resolución, sino mediante la activación de sensores de Tiempo de Vuelo (ToF) y tecnología LiDAR (Light Detection and Ranging).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medida que el operador traza una trayectoria alrededor del palé o contenedor, la fusión de datos visuales con la telemetría inercial (proporcionada por los giroscopios y acelerómetros del dispositivo) facilita la ejecución de algoritmos de Localización y Mapeo Simultáneo (SLAM).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Este proceso continuo genera nubes de puntos tridimensionales extremadamente densas, proyectando la topografía exacta de la carga. La inclusión de escaneo activo láser compensa las variaciones severas de iluminación características de las bodegas frigoríficas, asegurando una captación volumétrica sin pérdida de fidelidad geométrica.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Inferencia de Latencia Ultrabaja (Edge AI)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garantizar la inmediatez en el punto de inspección, el preprocesamiento de la información sensorial se ejecuta localmente mediante la implementación de Inteligencia Artificial en el borde (Edge AI).</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El dispositivo móvil aloja redes neuronales altamente optimizadas y comprimidas, capaces de operar offline sin sacrificar rigor analítico.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flujo de trabajo algorítmico local inicia con la detección, conteo y localización espacial de los productos. Investigaciones recientes respaldan el uso de la arquitectura YOLOv8-S; con un peso de archivo de apenas 6 megabytes, este modelo demuestra un rendimiento de detección de objetos excepcional con una sobrecarga computacional marginal, completando la inferencia en aproximadamente un segundo por fotograma.</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Posteriormente, los recortes de imagen (bounding boxes) se derivan a procesos paralelos de segmentación semántica y clasificación.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Mientras que arquitecturas complejas como los Vision Transformers (ViT) alcanzan precisiones de clasificación de especies del 96%, su tamaño prohibitivo (323 MB) los hace inviables para el borde; en su lugar, el sistema emplea topologías eficientes como MobileNetV3 (24 MB) para la clasificación de variedades agrícolas, y Redes Piramidales de Características (FPN, 22 MB) para la identificación inicial de anomalías a nivel de píxel.</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Adicionalmente, marcos como ARCore se utilizan para refinar la oclusión de profundidad, y Google ML Kit acelera el escaneo de matrices bidimensionales (códigos QR o DataMatrix) asociadas a la carga.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Razonamiento Semántico y Visión Fundacional (Cloud AI)</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Las determinaciones críticas que justifican la paralización de un pago multimillonario requieren una capacidad de razonamiento que excede los límites de la computación móvil. Para análisis semánticos complejos, extrapolación de biomasa y evaluación microscópica, las nubes de puntos depuradas y las secuencias de video se transmiten a la infraestructura en la nube a través del entorno de Google AI Studio.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pilar de esta capa analítica reside en la integración de modelos fundacionales de última generación, predominantemente Gemini 1.5 Pro y Gemini 3.0 Pro Vision.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ventaja comparativa de Gemini 1.5 Pro radica en su arquitectura de Mezcla de Expertos (MoE) dispersa y su revolucionaria ventana de contexto, capaz de procesar e indexar simultáneamente hasta dos millones de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 capacidad masiva de retención de contexto habilita al modelo para ingerir secuencias ininterrumpidas de video de alta definición de la inspección logística, comparando fotograma por fotograma el estado actual de la mercancía contra un corpus vasto de literatura agronómica y modelos 3D de referencia idealizados.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La IA no se limita a etiquetar una imagen; razona sobre la etiología del deterioro, evalúa las discrepancias topológicas a nivel submilimétrico y sintetiza sus conclusiones deterministas en formatos estructurados JSON, listos para ser asimilados por la infraestructura transaccional.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Integración Determinista mediante Servidores MCP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desafío arquitectónico supremo consiste en comunicar el análisis probabilístico de un modelo de lenguaje grande (LLM) con el entorno inmutable y determinista de una cadena de bloques. Esta brecha se salva magistralmente mediante la adopción del Protocolo de Contexto de Modelo (Model Context Protocol, MCP).</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MCP opera como un estándar de código abierto que instituye una interfaz de comunicación bidireccional segura, permitiendo a los modelos fundacionales descubrir, invocar y extraer resultados de herramientas y repositorios de datos de terceros en tiempo real.</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la topología del BeZhas Food Oracle, el servidor MCP funciona como la capa de orquestación y traducción.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Cuando Gemini concluye que un cargamento de arándanos ha sufrido estrés térmico irreversible, el modelo estructura el comando y lo envía al servidor MCP. Este servidor, equipado con el SDK de BeZhas y rutinas criptográficas especializadas, invoca la Interfaz Binaria de Aplicaciones (ABI) para formatear y firmar una transacción on-chain dirigida al contrato inteligente alojado en la red compatible con la Ethereum Virtual Machine (EVM, operando sobre Polygon). Esta canalización blindada asegura que los dictámenes cualitativos de la visión artificial se materialicen automática e irrevocablemente en consecuencias financieras, previniendo inyecciones de datos maliciosas o errores de transcripción humana.</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Cuantificación Agrícola: Algoritmia 3D, Biomasa y Escrutinio Nutricional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superación de los métodos de tasación analógicos—basados en el pesaje en básculas industriales y estimaciones volumétricas rudimentarias—es el primer impacto tangible de la aplicación. La capacidad de escanear la geometría de los frutos para inferir su biomasa y arquitectura nutricional revoluciona la transparencia comercial.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Reconstrucción Espacial y Cálculo de Volumen Efectivo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determinación del volumen neto de un lote agrícola a partir de capturas móviles implica sortear obstáculos formidables, como la oclusión óptica y la porosidad inherente de los frutos apilados.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Mientras el inspector rodea el objetivo, los algoritmos de Estructura a partir del Movimiento (Structure from Motion, SfM) triangulan puntos característicos superpuestos en múltiples fotogramas para construir un esqueleto tridimensional crudo.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datos de la nube de puntos se someten a un proceso de limpieza matemática, empleando filtros estadísticos de remoción de atípicos (Statistical Outlier Removal) para eliminar el ruido provocado por el movimiento de la cámara y la dispersión del sensor.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Para definir los límites de la masa orgánica y aislarla del recipiente de transporte o del suelo, se aplican algoritmos de segmentación euclidiana.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El cálculo volumétrico final desecha los cálculos de caja delimitadora simple en favor de técnicas avanzadas basadas en vóxeles (voxelización) y algoritmos </w:t>
      </w:r>
      <w:r w:rsidDel="00000000" w:rsidR="00000000" w:rsidRPr="00000000">
        <w:rPr>
          <w:rFonts w:ascii="Google Sans" w:cs="Google Sans" w:eastAsia="Google Sans" w:hAnsi="Google Sans"/>
          <w:i w:val="1"/>
          <w:iCs w:val="1"/>
          <w:color w:val="1f1f1f"/>
          <w:rtl w:val="0"/>
        </w:rPr>
        <w:t xml:space="preserve">Alpha-shape</w:t>
      </w:r>
      <w:r w:rsidDel="00000000" w:rsidR="00000000" w:rsidRPr="00000000">
        <w:rPr>
          <w:rFonts w:ascii="Google Sans" w:cs="Google Sans" w:eastAsia="Google Sans" w:hAnsi="Google Sans"/>
          <w:color w:val="1f1f1f"/>
          <w:rtl w:val="0"/>
        </w:rPr>
        <w:t xml:space="preserve"> 3D mejorados.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aplicación de coeficientes de volumen efectivo (EV) permite a la IA identificar e iterativamente restar el volumen del espacio intersticial (el aire entre las frutas), resultando en métricas de volumen neto cuya precisión se correlaciona de manera excepcional (con factores </w:t>
      </w:r>
      <w:r w:rsidDel="00000000" w:rsidR="00000000" w:rsidRPr="00000000">
        <w:rPr>
          <w:rFonts w:ascii="Google Sans" w:cs="Google Sans" w:eastAsia="Google Sans" w:hAnsi="Google Sans"/>
          <w:color w:val="1f1f1f"/>
        </w:rPr>
        <w:drawing>
          <wp:inline distB="19050" distT="19050" distL="19050" distR="19050">
            <wp:extent cx="215056" cy="22440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5056" cy="224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frecuentemente superiores a 0.95) frente a los métodos tradicionales de desplazamiento de agua destructivos.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Modelado de Biomasa mediante Coeficientes Alométricos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 el volumen neto matemáticamente asegurado, el paso subsecuente es la deducción del peso y la biomasa orgánica. Este proceso evita el uso de instrumentación de pesaje in situ mediante la aplicación de modelos de expansión de biomasa y ecuaciones alométricas generalizadas.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cálculo de la biomasa se formula multiplicando el volumen tridimensional extraído de la nube de puntos (</w:t>
      </w:r>
      <w:r w:rsidDel="00000000" w:rsidR="00000000" w:rsidRPr="00000000">
        <w:rPr>
          <w:rFonts w:ascii="Google Sans" w:cs="Google Sans" w:eastAsia="Google Sans" w:hAnsi="Google Sans"/>
          <w:color w:val="1f1f1f"/>
        </w:rPr>
        <w:drawing>
          <wp:inline distB="19050" distT="19050" distL="19050" distR="19050">
            <wp:extent cx="323106" cy="22807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3106" cy="228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por un coeficiente de densidad de la madera o pulpa (</w:t>
      </w:r>
      <w:r w:rsidDel="00000000" w:rsidR="00000000" w:rsidRPr="00000000">
        <w:rPr>
          <w:rFonts w:ascii="Google Sans" w:cs="Google Sans" w:eastAsia="Google Sans" w:hAnsi="Google Sans"/>
          <w:color w:val="1f1f1f"/>
        </w:rPr>
        <w:drawing>
          <wp:inline distB="19050" distT="19050" distL="19050" distR="19050">
            <wp:extent cx="511225" cy="227211"/>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11225" cy="2272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específico de la variedad fenotípica.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La IA de borde (Edge AI) juega aquí un papel taxonómico vital: los modelos de clasificación determinan visualmente la subespecie exacta (por ejemplo, distinguiendo perfiles de densidad entre variedades de manzanas o cítricos con una precisión que ronda el 96%).</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Adicionalmente, el análisis cromático de la cáscara del fruto proporciona inferencias sobre el contenido hídrico, ajustando dinámicamente el factor de densidad antes de que el servidor MCP registre el tonelaje calculado en el manifiesto digital.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El Oráculo Bromatológico y Nutricional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Expandiendo su alcance hacia la salud pública y el comercio electrónico agroalimentario de alto valor, el Food Oracle fusiona la cuantificación geométrica con el análisis bromatológico predictivo.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ingerir la topología de la fruta individual y cruzarla con extensas bases de datos agro-nutricionales, el modelo Gemini 1.5 Pro infiere perfiles bioquímicos de alta precisión. La biomasa calculada se traduce en estimaciones de recuento calórico, distribución de macronutrientes (proporciones de carbohidratos, lípidos y proteínas) y presencia de micronutrientes clave.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En etapas posteriores de la cadena de suministro, o en escenarios de consumo directo, el motor de razonamiento multimodal escruta la imagen para discernir componentes invisibles, identificando la posible contaminación cruzada de alérgenos basada en análisis de superficie y textura, ofreciendo así directrices profilácticas para un consumo seguro.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misma canalización de datos puede consolidarse para proporcionar al consumidor un índice de impacto ecológico y un seguimiento de la huella de carbono, verificado algorítmicamente desde el suelo cultivado.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Control de Calidad: Identificación de Fúngicos y Rotura de la Cadena de Frío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automatización de la penalidad económica descansa sobre la premisa de que el sistema de visión artificial es cualitativamente superior al ojo humano en la identificación temprana del deterioro patológico y fisiológico. El rastreo y la certificación de la cadena de frío para sectores perecederos y farmacéuticos constituye el mercado estratégico de incursión (</w:t>
      </w:r>
      <w:r w:rsidDel="00000000" w:rsidR="00000000" w:rsidRPr="00000000">
        <w:rPr>
          <w:rFonts w:ascii="Google Sans" w:cs="Google Sans" w:eastAsia="Google Sans" w:hAnsi="Google Sans"/>
          <w:i w:val="1"/>
          <w:iCs w:val="1"/>
          <w:color w:val="1f1f1f"/>
          <w:rtl w:val="0"/>
        </w:rPr>
        <w:t xml:space="preserve">Beachhead Market</w:t>
      </w:r>
      <w:r w:rsidDel="00000000" w:rsidR="00000000" w:rsidRPr="00000000">
        <w:rPr>
          <w:rFonts w:ascii="Google Sans" w:cs="Google Sans" w:eastAsia="Google Sans" w:hAnsi="Google Sans"/>
          <w:color w:val="1f1f1f"/>
          <w:rtl w:val="0"/>
        </w:rPr>
        <w:t xml:space="preserve">) del ecosistema BeZhas.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Segmentación Semántica de Firmas Fúngicas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deterioro causado por microorganismos patógenos genera pérdidas económicas masivas y riesgos sustanciales para la salud pública.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La arquitectura del Food Oracle despliega Redes Neuronales Convolucionales (CNN) multiclasificadoras entrenadas para mapear firmas visuales morfológicas y cromáticas que evidencian colonización fúngica.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procesamiento de imágenes evalúa las alteraciones sutiles en la reflectancia de la epidermis de la fruta, detectando el inicio de enfermedades devastadoras como el moho azul y verde (</w:t>
      </w:r>
      <w:r w:rsidDel="00000000" w:rsidR="00000000" w:rsidRPr="00000000">
        <w:rPr>
          <w:rFonts w:ascii="Google Sans" w:cs="Google Sans" w:eastAsia="Google Sans" w:hAnsi="Google Sans"/>
          <w:i w:val="1"/>
          <w:iCs w:val="1"/>
          <w:color w:val="1f1f1f"/>
          <w:rtl w:val="0"/>
        </w:rPr>
        <w:t xml:space="preserve">Penicillium spp.</w:t>
      </w:r>
      <w:r w:rsidDel="00000000" w:rsidR="00000000" w:rsidRPr="00000000">
        <w:rPr>
          <w:rFonts w:ascii="Google Sans" w:cs="Google Sans" w:eastAsia="Google Sans" w:hAnsi="Google Sans"/>
          <w:color w:val="1f1f1f"/>
          <w:rtl w:val="0"/>
        </w:rPr>
        <w:t xml:space="preserve">), el cancro cítrico, la mancha negra (</w:t>
      </w:r>
      <w:r w:rsidDel="00000000" w:rsidR="00000000" w:rsidRPr="00000000">
        <w:rPr>
          <w:rFonts w:ascii="Google Sans" w:cs="Google Sans" w:eastAsia="Google Sans" w:hAnsi="Google Sans"/>
          <w:i w:val="1"/>
          <w:iCs w:val="1"/>
          <w:color w:val="1f1f1f"/>
          <w:rtl w:val="0"/>
        </w:rPr>
        <w:t xml:space="preserve">Alternaria alternata</w:t>
      </w:r>
      <w:r w:rsidDel="00000000" w:rsidR="00000000" w:rsidRPr="00000000">
        <w:rPr>
          <w:rFonts w:ascii="Google Sans" w:cs="Google Sans" w:eastAsia="Google Sans" w:hAnsi="Google Sans"/>
          <w:color w:val="1f1f1f"/>
          <w:rtl w:val="0"/>
        </w:rPr>
        <w:t xml:space="preserve">) o el moho gris (</w:t>
      </w:r>
      <w:r w:rsidDel="00000000" w:rsidR="00000000" w:rsidRPr="00000000">
        <w:rPr>
          <w:rFonts w:ascii="Google Sans" w:cs="Google Sans" w:eastAsia="Google Sans" w:hAnsi="Google Sans"/>
          <w:i w:val="1"/>
          <w:iCs w:val="1"/>
          <w:color w:val="1f1f1f"/>
          <w:rtl w:val="0"/>
        </w:rPr>
        <w:t xml:space="preserve">Botrytis cinerea</w:t>
      </w:r>
      <w:r w:rsidDel="00000000" w:rsidR="00000000" w:rsidRPr="00000000">
        <w:rPr>
          <w:rFonts w:ascii="Google Sans" w:cs="Google Sans" w:eastAsia="Google Sans" w:hAnsi="Google Sans"/>
          <w:color w:val="1f1f1f"/>
          <w:rtl w:val="0"/>
        </w:rPr>
        <w:t xml:space="preserve">) mucho antes de que se desarrolle el micelio a nivel macroscópico.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través de técnicas de segmentación de instancia, el algoritmo circunscribe los píxeles anómalos, calculando el porcentaje exacto de área superficial comprometida.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integración de análisis de textura permite al sistema correlacionar cambios en la rugosidad o turgencia de la cáscara—un indicador indirecto de proliferación microbiana interna—con la probabilidad estadística de putrefacción, clasificando el lote en categorías de severidad predefinidas.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Monitoreo Inferido de la Cadena de Frío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preservación de los perfiles térmicos es imperativa en la logística agropecuaria, y su interrupción a menudo deja marcas forenses visuales que escapan a los métodos de inspección convencionales. El Food Oracle complementa o, en ciertos contextos, sustituye la dependencia de los registradores de datos (dataloggers) IoT mediante la deducción visual del estrés ambiental.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fluctuación térmica abrupta—el paso no controlado de un entorno refrigerado a uno cálido y viceversa—induce respuestas fisiológicas en los tejidos vegetales, destacándose la microcondensación, la pérdida prematura de pigmentación (clorosis) o el pardeamiento oxidativo superficial.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Los modelos de visión por computadora están calibrados para detectar patrones de humedad foliar o epitelial anómalos que actúan como catalizadores primarios para las infecciones fúngicas.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Cuando el razonamiento de Gemini 1.5 Pro correlaciona la presencia de esta microcondensación con firmas de senescencia acelerada, el sistema concluye con un grado de certeza auditable que se ha producido una violación de la cadena de frío, dictaminando el rechazo o la depreciación del activo. Esta detección proactiva resulta indispensable para aislar los spoilers biológicos y evitar la contaminación cruzada en centros de distribución a gran escala.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Tokenización RWA y la Génesis del Pasaporte Digital de Producto (DPP)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que el ecosistema logístico reconozca y actúe sobre los dictámenes de la inteligencia artificial, el ente físico escaneado (el lote de frutas) debe poseer una réplica fidedigna y operable dentro de la infraestructura blockchain.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convergencia se orquesta mediante la aplicación rigurosa de protocolos de tokenización de Activos del Mundo Real (RWA).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El Manifiesto de Carga NFT (BCM NFT)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arquitectura BeZhas transforma la entidad física en un activo digital fraccionable y transferible mediante estándares de red robustos (como ERC-721 para unicidad estricta y ERC-1155 para inventarios fungibles en lotes), manteniendo simultáneamente la conformidad con marcos regulatorios estrictos a través del estándar de seguridad ERC-3643.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El contrato inteligente subyacente instancia el cargamento como un "Manifiesto de Carga NFT" (BCM NFT), que encapsula criptográficamente el linaje íntegro del producto agroalimentario.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inviabilidad económica y las limitaciones de rendimiento (latencia) asociadas al almacenamiento masivo de datos crudos (imágenes volumétricas de alta resolución y archivos JSON pesados) directamente en los bloques de la cadena principal (on-chain), se despliega una topología de almacenamiento distribuido e híbrido.</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Los modelos tridimensionales, las evaluaciones nutricionales de Gemini y las fotografías segmentadas de la inspección fúngica se albergan en el Sistema de Archivos Interplanetario (IPFS) o en nodos de bases de datos federadas periféricas (CouchDB).</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El contrato inteligente ERC-721 se limita a almacenar los </w:t>
      </w:r>
      <w:r w:rsidDel="00000000" w:rsidR="00000000" w:rsidRPr="00000000">
        <w:rPr>
          <w:rFonts w:ascii="Google Sans" w:cs="Google Sans" w:eastAsia="Google Sans" w:hAnsi="Google Sans"/>
          <w:i w:val="1"/>
          <w:iCs w:val="1"/>
          <w:color w:val="1f1f1f"/>
          <w:rtl w:val="0"/>
        </w:rPr>
        <w:t xml:space="preserve">hashes</w:t>
      </w:r>
      <w:r w:rsidDel="00000000" w:rsidR="00000000" w:rsidRPr="00000000">
        <w:rPr>
          <w:rFonts w:ascii="Google Sans" w:cs="Google Sans" w:eastAsia="Google Sans" w:hAnsi="Google Sans"/>
          <w:color w:val="1f1f1f"/>
          <w:rtl w:val="0"/>
        </w:rPr>
        <w:t xml:space="preserve"> criptográficos (huellas digitales matemáticas inmutables) de estos documentos y a proporcionar un Uniform Resource Identifier (tokenURI) que direcciona infaliblemente a la carga útil.</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Si un solo bit de la evaluación de calidad alojada en IPFS fuera modificado fraudulentamente, el </w:t>
      </w:r>
      <w:r w:rsidDel="00000000" w:rsidR="00000000" w:rsidRPr="00000000">
        <w:rPr>
          <w:rFonts w:ascii="Google Sans" w:cs="Google Sans" w:eastAsia="Google Sans" w:hAnsi="Google Sans"/>
          <w:i w:val="1"/>
          <w:iCs w:val="1"/>
          <w:color w:val="1f1f1f"/>
          <w:rtl w:val="0"/>
        </w:rPr>
        <w:t xml:space="preserve">hash</w:t>
      </w:r>
      <w:r w:rsidDel="00000000" w:rsidR="00000000" w:rsidRPr="00000000">
        <w:rPr>
          <w:rFonts w:ascii="Google Sans" w:cs="Google Sans" w:eastAsia="Google Sans" w:hAnsi="Google Sans"/>
          <w:color w:val="1f1f1f"/>
          <w:rtl w:val="0"/>
        </w:rPr>
        <w:t xml:space="preserve"> discordaría inmediatamente con el registro on-chain, invalidando el activo y alertando a la red.</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Estructuración Semántica del Digital Product Passport (DPP)</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encapsulación del BCM NFT materializa la implementación de un Pasaporte Digital de Producto (Digital Product Passport, DPP), anticipándose y excediendo las exigencias de directivas internacionales venideras, tales como el Reglamento sobre Diseño Ecológico para Productos Sostenibles (ESPR) promulgado por la Unión Europea.</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El esquema de metadatos JSON asociado al tokenURI del Food Oracle alberga un registro de rastreabilidad exhaustivo, fraccionado en dominios específicos para facilitar la serialización y la gestión de lotes a lo largo de redes de distribución multinivel.</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Dominio Estructural del DPP (JSON)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Especificaciones del Atributo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Origen y Método de Adquisición Tecnológica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Identidad Soberana de la 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Identificador unívoco del lote, categorización de especie/variedad (esquemas UN CPC), geolocalización de procedencia.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Dispositivo móvil, entrada SSIaaS del operador y lectura de matrices QR.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Métricas Topológicas y de Biomasa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Volumen efectivo (</w:t>
            </w:r>
            <w:r w:rsidDel="00000000" w:rsidR="00000000" w:rsidRPr="00000000">
              <w:rPr>
                <w:rFonts w:ascii="Google Sans" w:cs="Google Sans" w:eastAsia="Google Sans" w:hAnsi="Google Sans"/>
                <w:color w:val="1f1f1f"/>
                <w:shd w:fill="auto" w:val="clear"/>
              </w:rPr>
              <w:drawing>
                <wp:inline distB="19050" distT="19050" distL="19050" distR="19050">
                  <wp:extent cx="206275" cy="19689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06275" cy="19689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coeficiente de densidad tisular, estimación de biomasa y peso neto proyectado.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Algoritmia de escaneo LiDAR y modelos de voxelización en Edge AI.</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Atributos Bromatológicos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Estimación calórica, perfiles de macronutrientes, probabilidad de alérgenos cruzados.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Razonamiento deductivo multimodal (Gemini 1.5 Pro).</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Puntuación de Integridad y Calidad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Índice de severidad patológica, porcentaje de área lesionada por colonización fúngica, estado de madurez fisiológica.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Segmentación semántica multiclasificación local (CNNs / YOLOv8-S).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Documentación Acreditativa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Certificados e-SPS, atestaciones de prácticas orgánicas, cálculo paramétrico de la huella de carbono acumulada (Scope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Interoperabilidad API con bases de datos regulatorias aduaneras y de sostenibilidad (ASYCUDA / UNTP).</w:t>
            </w:r>
            <w:r w:rsidDel="00000000" w:rsidR="00000000" w:rsidRPr="00000000">
              <w:rPr>
                <w:rFonts w:ascii="Google Sans" w:cs="Google Sans" w:eastAsia="Google Sans" w:hAnsi="Google Sans"/>
                <w:color w:val="444746"/>
                <w:sz w:val="24"/>
                <w:szCs w:val="24"/>
                <w:vertAlign w:val="superscript"/>
                <w:rtl w:val="0"/>
              </w:rPr>
              <w:t xml:space="preserve">69</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densidad semántica asegura que el receptor final posea un acervo de datos irrefutable para la validación de la procedencia, erradicando la asimetría informativa que históricamente ha propiciado el fraude y las reclamaciones espurias en el sector agrológico.</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Mecanismos de Ejecución Autónoma: Smart Contracts y Lógica de Escrow</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cenit arquitectónico del BeZhas Food Oracle es su capacidad inmanente para disolver la fricción transaccional y el letargo burocrático mediante la vinculación de eventos físicos con ejecuciones financieras irreversibles. La gestión tradicional de la cadena de suministro adolece de una desconexión crítica: la velocidad del flujo logístico supera con creces la agilidad del movimiento de capitales, generando retrasos endémicos, insolvencias y litigios por la responsabilidad de la merma.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integración de algoritmos de Depósito en Garantía basados en Contratos Inteligentes (Smart Contract Escrow) automatiza y sanea esta dinámica.</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Lógica de Transacción, Condicionalidad y Resolución Algorítmica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núcleo de liquidación, codificado típicamente en lenguajes como Solidity (Escrow.sol, SupplyChain.sol), opera bajo una estricta heurística determinista basada en sentencias condicionales ("Si se cumple X, ejecuta Y irrevocablemente").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El ciclo de vida de la transacción agroalimentaria se orquesta en las siguientes fases: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Fundación y Bloqueo de Capital:</w:t>
      </w:r>
      <w:r w:rsidDel="00000000" w:rsidR="00000000" w:rsidRPr="00000000">
        <w:rPr>
          <w:rFonts w:ascii="Google Sans" w:cs="Google Sans" w:eastAsia="Google Sans" w:hAnsi="Google Sans"/>
          <w:color w:val="1f1f1f"/>
          <w:rtl w:val="0"/>
        </w:rPr>
        <w:t xml:space="preserve"> Al concretarse una orden de compra entre un distribuidor y un agricultor, los fondos (estipulados en criptomonedas estables o BEZ-Coin) son depositados en la bóveda criptográfica del contrato inteligente. El capital queda inmovilizado; el comprador no puede retractarse unilateralmente y el vendedor no puede extraer la liquidez sin cumplir con la entrega.</w:t>
      </w:r>
      <w:r w:rsidDel="00000000" w:rsidR="00000000" w:rsidRPr="00000000">
        <w:rPr>
          <w:rFonts w:ascii="Google Sans" w:cs="Google Sans" w:eastAsia="Google Sans" w:hAnsi="Google Sans"/>
          <w:color w:val="444746"/>
          <w:sz w:val="24"/>
          <w:szCs w:val="24"/>
          <w:vertAlign w:val="superscript"/>
          <w:rtl w:val="0"/>
        </w:rPr>
        <w:t xml:space="preserve">75</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Tránsito y Telemetría Intermedia:</w:t>
      </w:r>
      <w:r w:rsidDel="00000000" w:rsidR="00000000" w:rsidRPr="00000000">
        <w:rPr>
          <w:rFonts w:ascii="Google Sans" w:cs="Google Sans" w:eastAsia="Google Sans" w:hAnsi="Google Sans"/>
          <w:color w:val="1f1f1f"/>
          <w:rtl w:val="0"/>
        </w:rPr>
        <w:t xml:space="preserve"> Durante el transporte, los oráculos pueden inyectar periódicamente datos provenientes de dispositivos IoT (registradores de temperatura) directamente al contrato, alterando dinámicamente el estado del envío.</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Intervención del Oráculo Físico (Validación en Destino):</w:t>
      </w:r>
      <w:r w:rsidDel="00000000" w:rsidR="00000000" w:rsidRPr="00000000">
        <w:rPr>
          <w:rFonts w:ascii="Google Sans" w:cs="Google Sans" w:eastAsia="Google Sans" w:hAnsi="Google Sans"/>
          <w:color w:val="1f1f1f"/>
          <w:rtl w:val="0"/>
        </w:rPr>
        <w:t xml:space="preserve"> Al arribar a las instalaciones de recepción, el operador ejecuta el escaneo con el BeZhas Food Oracle. El pipeline de visión artificial y Gemini 1.5 Pro analizan la volumetría y rastrean firmas fúngicas.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servidor MCP empaqueta los resultados y los envía al contrato a través de la ABI.</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Ejecución Categórica:</w:t>
      </w:r>
    </w:p>
    <w:p w:rsidR="00000000" w:rsidDel="00000000" w:rsidP="00000000" w:rsidRDefault="00000000" w:rsidRPr="00000000" w14:paraId="0000006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Disparador de Liberación (Success Trigger):</w:t>
      </w:r>
      <w:r w:rsidDel="00000000" w:rsidR="00000000" w:rsidRPr="00000000">
        <w:rPr>
          <w:rFonts w:ascii="Google Sans" w:cs="Google Sans" w:eastAsia="Google Sans" w:hAnsi="Google Sans"/>
          <w:color w:val="1f1f1f"/>
          <w:rtl w:val="0"/>
        </w:rPr>
        <w:t xml:space="preserve"> Si los parámetros de biomasa coinciden con el manifiesto BCM NFT y la evaluación de calidad arroja una puntuación libre de descomposición o desviación térmica (por encima del umbral contractual), la función del contrato (ej. releaseFunds()) se dispara de forma automática. El pago se transfiere al proveedor en cuestión de segundos, inyectando flujo de caja crítico al sector primario y eludiendo las ineficiencias del procesamiento de facturas convencional.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i w:val="1"/>
          <w:iCs w:val="1"/>
          <w:color w:val="1f1f1f"/>
          <w:rtl w:val="0"/>
        </w:rPr>
        <w:t xml:space="preserve">Disparador de Paralización (Halt/Failure Trigger):</w:t>
      </w:r>
      <w:r w:rsidDel="00000000" w:rsidR="00000000" w:rsidRPr="00000000">
        <w:rPr>
          <w:rFonts w:ascii="Google Sans" w:cs="Google Sans" w:eastAsia="Google Sans" w:hAnsi="Google Sans"/>
          <w:color w:val="1f1f1f"/>
          <w:rtl w:val="0"/>
        </w:rPr>
        <w:t xml:space="preserve"> Contrariamente, si la inteligencia artificial segmenta visualmente manchas de </w:t>
      </w:r>
      <w:r w:rsidDel="00000000" w:rsidR="00000000" w:rsidRPr="00000000">
        <w:rPr>
          <w:rFonts w:ascii="Google Sans" w:cs="Google Sans" w:eastAsia="Google Sans" w:hAnsi="Google Sans"/>
          <w:i w:val="1"/>
          <w:iCs w:val="1"/>
          <w:color w:val="1f1f1f"/>
          <w:rtl w:val="0"/>
        </w:rPr>
        <w:t xml:space="preserve">Botrytis</w:t>
      </w:r>
      <w:r w:rsidDel="00000000" w:rsidR="00000000" w:rsidRPr="00000000">
        <w:rPr>
          <w:rFonts w:ascii="Google Sans" w:cs="Google Sans" w:eastAsia="Google Sans" w:hAnsi="Google Sans"/>
          <w:color w:val="1f1f1f"/>
          <w:rtl w:val="0"/>
        </w:rPr>
        <w:t xml:space="preserve"> o microcondensación reveladora de una ruptura severa de la cadena de frío, el contrato inteligente evalúa instantáneamente el fallo contra las reglas codificadas. Esta señal activa el mecanismo de paralización (haltPayment() o initiateDispute()), reteniendo el pago al proveedor y previniendo que se financie mercancía defectuosa o biológicamente peligrosa.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Resiliencia Frente al "Problema del Oráculo" y Mitigación de Fraude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delegación de autoridad fiduciaria en fuentes de datos externas (el oráculo) expone al sistema al riesgo de manipulación de entradas o envenenamiento de datos, una vulnerabilidad sistémica conocida como el "Problema del Oráculo".</w:t>
      </w:r>
      <w:r w:rsidDel="00000000" w:rsidR="00000000" w:rsidRPr="00000000">
        <w:rPr>
          <w:rFonts w:ascii="Google Sans" w:cs="Google Sans" w:eastAsia="Google Sans" w:hAnsi="Google Sans"/>
          <w:color w:val="444746"/>
          <w:sz w:val="24"/>
          <w:szCs w:val="24"/>
          <w:vertAlign w:val="superscript"/>
          <w:rtl w:val="0"/>
        </w:rPr>
        <w:t xml:space="preserve">81</w:t>
      </w:r>
      <w:r w:rsidDel="00000000" w:rsidR="00000000" w:rsidRPr="00000000">
        <w:rPr>
          <w:rFonts w:ascii="Google Sans" w:cs="Google Sans" w:eastAsia="Google Sans" w:hAnsi="Google Sans"/>
          <w:color w:val="1f1f1f"/>
          <w:rtl w:val="0"/>
        </w:rPr>
        <w:t xml:space="preserve"> Un distribuidor malicioso podría intentar presentar imágenes alteradas o dañar deliberadamente la carga posterior a la recepción para inducir un fallo en el contrato y defraudar al agricultor, eludiendo el pago.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BeZhas blinda su arquitectura mediante una red de defensas superpuestas. Primero, el despliegue del modelo SSIaaS restringe la interacción con el servidor MCP exclusivamente a dispositivos hardware criptográficamente autenticados y operadores con reputación validada mediante firmas digitales.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Adicionalmente, se implementa geovallado (geofencing) para asegurar que el escaneo ocurra en las coordenadas de destino acordadas. Segundo, la inteligencia artificial actúa como auditor metaanalítico: el razonamiento profundo de Gemini evalúa de manera proactiva los fotogramas en busca de aberraciones de compresión, anomalías temporales o indicios espaciales que sugieran intentos de hacer pasar daños contusos o podredumbre retrospectiva como fallos del transporte. En caso de detectarse incongruencias operativas graves o manipulación, la IA aborta la ejecución automática, bloqueando el estado del contrato en modo "disputa" para someter el caso a un arbitraje humano asistido, preservando la integridad económica de las partes legítimas y reduciendo drásticamente el fraude de reclamaciones.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Interoperabilidad Logística y Aduanera a Escala Global (ASYCUDA y SIMPLE)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del BeZhas Food Oracle trasciende el ámbito de los acuerdos bilaterales entre empresas privadas. Su verdadero potencial sistémico radica en su capacidad arquitectónica para sincronizarse de manera fluida y bidireccional con las infraestructuras digitales críticas de las administraciones públicas y aduanas internacionales, agilizando el paso transfronterizo de mercancías perecederas.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Sincronización Estructural con el Sistema ASYCUDA World</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programa ASYCUDA (Sistema Automatizado para Datos Aduaneros), desarrollado por la Conferencia de las Naciones Unidas sobre Comercio y Desarrollo (UNCTAD), constituye el tejido nervioso del despacho de aduanas, implementado en más de 90 naciones a nivel mundial.</w:t>
      </w:r>
      <w:r w:rsidDel="00000000" w:rsidR="00000000" w:rsidRPr="00000000">
        <w:rPr>
          <w:rFonts w:ascii="Google Sans" w:cs="Google Sans" w:eastAsia="Google Sans" w:hAnsi="Google Sans"/>
          <w:color w:val="444746"/>
          <w:sz w:val="24"/>
          <w:szCs w:val="24"/>
          <w:vertAlign w:val="superscript"/>
          <w:rtl w:val="0"/>
        </w:rPr>
        <w:t xml:space="preserve">85</w:t>
      </w:r>
      <w:r w:rsidDel="00000000" w:rsidR="00000000" w:rsidRPr="00000000">
        <w:rPr>
          <w:rFonts w:ascii="Google Sans" w:cs="Google Sans" w:eastAsia="Google Sans" w:hAnsi="Google Sans"/>
          <w:color w:val="1f1f1f"/>
          <w:rtl w:val="0"/>
        </w:rPr>
        <w:t xml:space="preserve"> La integración del oráculo con este ecosistema se facilita a través de la interfaz de programación de aplicaciones (API) y el cumplimiento de esquemas estandarizados de intercambio de datos (EDI) de la plataforma, como la arquitectura ASYHUB.</w:t>
      </w:r>
      <w:r w:rsidDel="00000000" w:rsidR="00000000" w:rsidRPr="00000000">
        <w:rPr>
          <w:rFonts w:ascii="Google Sans" w:cs="Google Sans" w:eastAsia="Google Sans" w:hAnsi="Google Sans"/>
          <w:color w:val="444746"/>
          <w:sz w:val="24"/>
          <w:szCs w:val="24"/>
          <w:vertAlign w:val="superscript"/>
          <w:rtl w:val="0"/>
        </w:rPr>
        <w:t xml:space="preserve">86</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técnico, el servidor MCP de BeZhas posee la capacidad de formatear y traducir la biomasa calculada, las métricas de integridad y la clasificación de especies del lote agroalimentario en flujos de datos XML legibles por la máquina, específicamente adaptándose a las estructuras del Manifiesto Electrónico (AWMDS - Asycuda World Manifest Data Stream), tales como los segmentos de información general (&lt;General_segment_id&gt;) y detalles del conocimiento de embarque (&lt;Bol_segment&gt;).</w:t>
      </w:r>
      <w:r w:rsidDel="00000000" w:rsidR="00000000" w:rsidRPr="00000000">
        <w:rPr>
          <w:rFonts w:ascii="Google Sans" w:cs="Google Sans" w:eastAsia="Google Sans" w:hAnsi="Google Sans"/>
          <w:color w:val="444746"/>
          <w:sz w:val="24"/>
          <w:szCs w:val="24"/>
          <w:vertAlign w:val="superscript"/>
          <w:rtl w:val="0"/>
        </w:rPr>
        <w:t xml:space="preserve">85</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sinergia más crítica ocurre con el módulo ASYSPS, encargado de la gestión de Certificados Sanitarios y Fitosanitarios electrónicos (e-SPS).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Cuando el Food Oracle verifica la ausencia de patógenos fúngicos y la integridad celular de un producto destinado a la exportación, esta atestación inmutable, firmada por la IA y respaldada por la blockchain de BeZhas, puede integrarse directamente en el portal de la agencia reguladora correspondiente.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Esto permite procesos de validación cruzada y despacho anticipado a la llegada del buque o avión (pre-arrival clearance), una ventaja logística monumental que disminuye los tiempos de espera burocráticos y, por ende, reduce la exposición al deterioro térmico en los cuellos de botella fronterizos.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Convergencia Multimodal con la Plataforma Nacional SIMPLE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el marco de la conectividad regional y la digitalización de corredores de transporte europeos, el ecosistema establece rutas de interoperabilidad con la plataforma SIMPLE (Simplification of Processes for a Logistic Enhancement), promovida por Puertos del Estado y el Administrador de Infraestructuras Ferroviarias (ADIF) en España.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SIMPLE se diseña como una arquitectura colaborativa y federativa, basada igualmente en tecnologías de registro distribuido (DLT/Blockchain), que persigue orquestar un gemelo digital ininterrumpido a través de modos de transporte terrestre, ferroviario y marítimo.</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Mediante la exposición y consumo de protocolos API REST y SOAP, el servidor MCP del Food Oracle transfiere en tiempo real los eventos críticos registrados sobre la carga.</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Si, por ejemplo, la aplicación móvil escanea un contenedor en un área logística de tránsito y detona una paralización de pago debido a signos de senescencia prematura de la biomasa frutal, dicho evento no solo detiene la transacción financiera en la red Polygon, sino que inyecta una advertencia de incidencia en el ecosistema SIMPLE.</w:t>
      </w:r>
      <w:r w:rsidDel="00000000" w:rsidR="00000000" w:rsidRPr="00000000">
        <w:rPr>
          <w:rFonts w:ascii="Google Sans" w:cs="Google Sans" w:eastAsia="Google Sans" w:hAnsi="Google Sans"/>
          <w:color w:val="444746"/>
          <w:sz w:val="24"/>
          <w:szCs w:val="24"/>
          <w:vertAlign w:val="superscript"/>
          <w:rtl w:val="0"/>
        </w:rPr>
        <w:t xml:space="preserve">96</w:t>
      </w:r>
      <w:r w:rsidDel="00000000" w:rsidR="00000000" w:rsidRPr="00000000">
        <w:rPr>
          <w:rFonts w:ascii="Google Sans" w:cs="Google Sans" w:eastAsia="Google Sans" w:hAnsi="Google Sans"/>
          <w:color w:val="1f1f1f"/>
          <w:rtl w:val="0"/>
        </w:rPr>
        <w:t xml:space="preserve"> Esta arquitectura interconectada permite a todos los actores autorizados de la cadena multimodal—incluyendo consignatarios, inspectores de tráfico del Ministerio de Transporte y organismos de sanidad vegetal—consultar de manera instantánea el estado físico real y auditable de la mercancía.</w:t>
      </w:r>
      <w:r w:rsidDel="00000000" w:rsidR="00000000" w:rsidRPr="00000000">
        <w:rPr>
          <w:rFonts w:ascii="Google Sans" w:cs="Google Sans" w:eastAsia="Google Sans" w:hAnsi="Google Sans"/>
          <w:color w:val="444746"/>
          <w:sz w:val="24"/>
          <w:szCs w:val="24"/>
          <w:vertAlign w:val="superscript"/>
          <w:rtl w:val="0"/>
        </w:rPr>
        <w:t xml:space="preserve">97</w:t>
      </w:r>
      <w:r w:rsidDel="00000000" w:rsidR="00000000" w:rsidRPr="00000000">
        <w:rPr>
          <w:rFonts w:ascii="Google Sans" w:cs="Google Sans" w:eastAsia="Google Sans" w:hAnsi="Google Sans"/>
          <w:color w:val="1f1f1f"/>
          <w:rtl w:val="0"/>
        </w:rPr>
        <w:t xml:space="preserve"> La armonización semántica de estas redes distribuidas consolida un flujo de bienes donde la calidad física gobierna tanto el cumplimiento administrativo como la liquidación financiera.</w:t>
      </w:r>
      <w:r w:rsidDel="00000000" w:rsidR="00000000" w:rsidRPr="00000000">
        <w:rPr>
          <w:rFonts w:ascii="Google Sans" w:cs="Google Sans" w:eastAsia="Google Sans" w:hAnsi="Google Sans"/>
          <w:color w:val="444746"/>
          <w:sz w:val="24"/>
          <w:szCs w:val="24"/>
          <w:vertAlign w:val="superscript"/>
          <w:rtl w:val="0"/>
        </w:rPr>
        <w:t xml:space="preserve">62</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concepción, el diseño y el despliegue del 'BeZhas Food Oracle' representan una evolución tecnológica determinante en la manera en que los mercados globales auditan, valoran e intercambian activos físicos. Al sustituir la subjetividad de la evaluación visual humana y la imprecisión del cálculo biológico rudimentario por arquitecturas de visión tridimensional fundamentadas en Edge AI y en el razonamiento multimodal de modelos como Gemini 1.5 Pro, se logra una fidelidad metrológica e inmunitaria sin parangón en la agroindustria.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virtuosismo de la plataforma no se circunscribe únicamente a su proeza analítica, sino a la traducción infalible de dicha telemetría biológica en acciones económicas. La adopción de servidores MCP y su posterior integración determinista con contratos inteligentes ejecutables en máquinas virtuales Ethereum (EVM) erradica la demora y la dependencia fiduciaria en la resolución de disputas logísticas. La automatización inmutable de las retenciones de pago ante la detección temprana de patógenos fúngicos o la fractura de la cadena de frío, alineada estrechamente con el rigor de los pasaportes digitales (DPP) y la economía gamificada del BEZ-Coin, introduce incentivos insoslayables en el sector: anula la rentabilidad del fraude y premia la excelencia operativa. Al interoperar sin fricción con infraestructuras aduaneras globales como ASYCUDA y plataformas logísticas integradas como SIMPLE, BeZhas erige una nueva sintaxis comercial, posicionándose como la espina dorsal de una economía descentralizada, transparente y financieramente incorruptible.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Obras citadas</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BeZhas_ Visión Artificial y Trazabilidad.docx,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https://drive.google.com/open?id=1Ga-P7Rw7XAtzw6NjxE688xWzUXWL38k-</w:t>
        </w:r>
      </w:hyperlink>
      <w:r w:rsidDel="00000000" w:rsidR="00000000" w:rsidRPr="00000000">
        <w:rPr>
          <w:rtl w:val="0"/>
        </w:rPr>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Project - Puertos del Estado, fecha de acceso: marzo 14, 2026, </w:t>
      </w:r>
      <w:hyperlink r:id="rId11">
        <w:r w:rsidDel="00000000" w:rsidR="00000000" w:rsidRPr="00000000">
          <w:rPr>
            <w:rFonts w:ascii="Google Sans" w:cs="Google Sans" w:eastAsia="Google Sans" w:hAnsi="Google Sans"/>
            <w:color w:val="0000ee"/>
            <w:sz w:val="24"/>
            <w:szCs w:val="24"/>
            <w:u w:val="single"/>
            <w:rtl w:val="0"/>
          </w:rPr>
          <w:t xml:space="preserve">https://www.puertos.es/en/strategy/digitalization/simple-project</w:t>
        </w:r>
      </w:hyperlink>
      <w:r w:rsidDel="00000000" w:rsidR="00000000" w:rsidRPr="00000000">
        <w:rPr>
          <w:rtl w:val="0"/>
        </w:rPr>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BeZhas Deck.pdf,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https://drive.google.com/open?id=1xb16JtpN-3h9Wl0jcgCyPisKwFsNSoGf</w:t>
        </w:r>
      </w:hyperlink>
      <w:r w:rsidDel="00000000" w:rsidR="00000000" w:rsidRPr="00000000">
        <w:rPr>
          <w:rtl w:val="0"/>
        </w:rPr>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1.5: Unlocking multimodal understanding across millions of tokens of context - arXiv, fecha de acceso: marzo 14, 2026, </w:t>
      </w:r>
      <w:hyperlink r:id="rId13">
        <w:r w:rsidDel="00000000" w:rsidR="00000000" w:rsidRPr="00000000">
          <w:rPr>
            <w:rFonts w:ascii="Google Sans" w:cs="Google Sans" w:eastAsia="Google Sans" w:hAnsi="Google Sans"/>
            <w:color w:val="0000ee"/>
            <w:sz w:val="24"/>
            <w:szCs w:val="24"/>
            <w:u w:val="single"/>
            <w:rtl w:val="0"/>
          </w:rPr>
          <w:t xml:space="preserve">https://arxiv.org/pdf/2403.05530</w:t>
        </w:r>
      </w:hyperlink>
      <w:r w:rsidDel="00000000" w:rsidR="00000000" w:rsidRPr="00000000">
        <w:rPr>
          <w:rtl w:val="0"/>
        </w:rPr>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Food Vision - Apps en Google Play, fecha de acceso: marzo 14, 2026, </w:t>
      </w:r>
      <w:hyperlink r:id="rId14">
        <w:r w:rsidDel="00000000" w:rsidR="00000000" w:rsidRPr="00000000">
          <w:rPr>
            <w:rFonts w:ascii="Google Sans" w:cs="Google Sans" w:eastAsia="Google Sans" w:hAnsi="Google Sans"/>
            <w:color w:val="0000ee"/>
            <w:sz w:val="24"/>
            <w:szCs w:val="24"/>
            <w:u w:val="single"/>
            <w:rtl w:val="0"/>
          </w:rPr>
          <w:t xml:space="preserve">https://play.google.com/store/apps/details?id=com.foodvision.app&amp;hl=es_NI</w:t>
        </w:r>
      </w:hyperlink>
      <w:r w:rsidDel="00000000" w:rsidR="00000000" w:rsidRPr="00000000">
        <w:rPr>
          <w:rtl w:val="0"/>
        </w:rPr>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Uso de la visión artificial para detectar enfermedades de las plantas - DataVLab, fecha de acceso: marzo 14, 2026, </w:t>
      </w:r>
      <w:hyperlink r:id="rId15">
        <w:r w:rsidDel="00000000" w:rsidR="00000000" w:rsidRPr="00000000">
          <w:rPr>
            <w:rFonts w:ascii="Google Sans" w:cs="Google Sans" w:eastAsia="Google Sans" w:hAnsi="Google Sans"/>
            <w:color w:val="0000ee"/>
            <w:sz w:val="24"/>
            <w:szCs w:val="24"/>
            <w:u w:val="single"/>
            <w:rtl w:val="0"/>
          </w:rPr>
          <w:t xml:space="preserve">https://datavlab.ai/es/post/uso-de-la-vision-artificial-para-detectar-enfermedades-de-las-plantas-mejora-de-la-precision-y-la-eficiencia-agricolas</w:t>
        </w:r>
      </w:hyperlink>
      <w:r w:rsidDel="00000000" w:rsidR="00000000" w:rsidRPr="00000000">
        <w:rPr>
          <w:rtl w:val="0"/>
        </w:rPr>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and Automated Payments in Supply Chain Transactions, fecha de acceso: marzo 14, 2026, </w:t>
      </w:r>
      <w:hyperlink r:id="rId16">
        <w:r w:rsidDel="00000000" w:rsidR="00000000" w:rsidRPr="00000000">
          <w:rPr>
            <w:rFonts w:ascii="Google Sans" w:cs="Google Sans" w:eastAsia="Google Sans" w:hAnsi="Google Sans"/>
            <w:color w:val="0000ee"/>
            <w:sz w:val="24"/>
            <w:szCs w:val="24"/>
            <w:u w:val="single"/>
            <w:rtl w:val="0"/>
          </w:rPr>
          <w:t xml:space="preserve">https://www.supplychainlogisticswp.org/post/smart-contracts-and-automated-payments-in-supply-chain-transactions</w:t>
        </w:r>
      </w:hyperlink>
      <w:r w:rsidDel="00000000" w:rsidR="00000000" w:rsidRPr="00000000">
        <w:rPr>
          <w:rtl w:val="0"/>
        </w:rPr>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technology in supply chain operations: Applications, challenges and research opportunities - PMC, fecha de acceso: marzo 14,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https://pmc.ncbi.nlm.nih.gov/articles/PMC7522652/</w:t>
        </w:r>
      </w:hyperlink>
      <w:r w:rsidDel="00000000" w:rsidR="00000000" w:rsidRPr="00000000">
        <w:rPr>
          <w:rtl w:val="0"/>
        </w:rPr>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BeZhas: El Sistema Operativo de la Confianza Industrial Web3, </w:t>
      </w:r>
      <w:hyperlink r:id="rId18">
        <w:r w:rsidDel="00000000" w:rsidR="00000000" w:rsidRPr="00000000">
          <w:rPr>
            <w:rFonts w:ascii="Google Sans" w:cs="Google Sans" w:eastAsia="Google Sans" w:hAnsi="Google Sans"/>
            <w:color w:val="0000ee"/>
            <w:sz w:val="24"/>
            <w:szCs w:val="24"/>
            <w:u w:val="single"/>
            <w:rtl w:val="0"/>
          </w:rPr>
          <w:t xml:space="preserve">https://drive.google.com/open?id=1AM9I7ogVby_Nh-kbXRjTIftKE5VLbLT5I9LVBFeeYmY</w:t>
        </w:r>
      </w:hyperlink>
      <w:r w:rsidDel="00000000" w:rsidR="00000000" w:rsidRPr="00000000">
        <w:rPr>
          <w:rtl w:val="0"/>
        </w:rPr>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MCP servers - Model Context Protocol, fecha de acceso: marzo 14, 2026, </w:t>
      </w:r>
      <w:hyperlink r:id="rId19">
        <w:r w:rsidDel="00000000" w:rsidR="00000000" w:rsidRPr="00000000">
          <w:rPr>
            <w:rFonts w:ascii="Google Sans" w:cs="Google Sans" w:eastAsia="Google Sans" w:hAnsi="Google Sans"/>
            <w:color w:val="0000ee"/>
            <w:sz w:val="24"/>
            <w:szCs w:val="24"/>
            <w:u w:val="single"/>
            <w:rtl w:val="0"/>
          </w:rPr>
          <w:t xml:space="preserve">https://modelcontextprotocol.io/docs/learn/server-concepts</w:t>
        </w:r>
      </w:hyperlink>
      <w:r w:rsidDel="00000000" w:rsidR="00000000" w:rsidRPr="00000000">
        <w:rPr>
          <w:rtl w:val="0"/>
        </w:rPr>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World Asset (RWA) Supply Chain for Smart Factory - Research Publish Journals, fecha de acceso: marzo 14, 2026, </w:t>
      </w:r>
      <w:hyperlink r:id="rId20">
        <w:r w:rsidDel="00000000" w:rsidR="00000000" w:rsidRPr="00000000">
          <w:rPr>
            <w:rFonts w:ascii="Google Sans" w:cs="Google Sans" w:eastAsia="Google Sans" w:hAnsi="Google Sans"/>
            <w:color w:val="0000ee"/>
            <w:sz w:val="24"/>
            <w:szCs w:val="24"/>
            <w:u w:val="single"/>
            <w:rtl w:val="0"/>
          </w:rPr>
          <w:t xml:space="preserve">https://www.researchpublish.com/upload/book/Real%20World%20Asset%20(RWA)%20Supply%20Chain%20for%20Smart%20Factory-13082025-2.pdf</w:t>
        </w:r>
      </w:hyperlink>
      <w:r w:rsidDel="00000000" w:rsidR="00000000" w:rsidRPr="00000000">
        <w:rPr>
          <w:rtl w:val="0"/>
        </w:rPr>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Asset Ownership: Why RWA Tokenization Is the Next Big Wave in DeFi, fecha de acceso: marzo 14, 2026, </w:t>
      </w:r>
      <w:hyperlink r:id="rId21">
        <w:r w:rsidDel="00000000" w:rsidR="00000000" w:rsidRPr="00000000">
          <w:rPr>
            <w:rFonts w:ascii="Google Sans" w:cs="Google Sans" w:eastAsia="Google Sans" w:hAnsi="Google Sans"/>
            <w:color w:val="0000ee"/>
            <w:sz w:val="24"/>
            <w:szCs w:val="24"/>
            <w:u w:val="single"/>
            <w:rtl w:val="0"/>
          </w:rPr>
          <w:t xml:space="preserve">https://growthturbine.com/blogs/the-future-of-asset-ownership-why-rwa-tokenization-is-the-next-big-wave-in-defi</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ac12644/Supply-Chain-Smart-Contract: Bringing Transparency to the Food Industry - GitHub, fecha de acceso: marzo 14, 2026, </w:t>
      </w:r>
      <w:hyperlink r:id="rId22">
        <w:r w:rsidDel="00000000" w:rsidR="00000000" w:rsidRPr="00000000">
          <w:rPr>
            <w:rFonts w:ascii="Google Sans" w:cs="Google Sans" w:eastAsia="Google Sans" w:hAnsi="Google Sans"/>
            <w:color w:val="0000ee"/>
            <w:sz w:val="24"/>
            <w:szCs w:val="24"/>
            <w:u w:val="single"/>
            <w:rtl w:val="0"/>
          </w:rPr>
          <w:t xml:space="preserve">https://github.com/ac12644/Supply-Chain-Smart-Contract</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[2412.18635] Edge-AI for Agriculture: Lightweight Vision Models for Disease Detection in Resource-Limited Settings - arXiv, fecha de acceso: marzo 14, 2026, </w:t>
      </w:r>
      <w:hyperlink r:id="rId23">
        <w:r w:rsidDel="00000000" w:rsidR="00000000" w:rsidRPr="00000000">
          <w:rPr>
            <w:rFonts w:ascii="Google Sans" w:cs="Google Sans" w:eastAsia="Google Sans" w:hAnsi="Google Sans"/>
            <w:color w:val="0000ee"/>
            <w:sz w:val="24"/>
            <w:szCs w:val="24"/>
            <w:u w:val="single"/>
            <w:rtl w:val="0"/>
          </w:rPr>
          <w:t xml:space="preserve">https://arxiv.org/abs/2412.18635</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Visión artificial EDGE AI - AiFA Labs, fecha de acceso: marzo 14, 2026, </w:t>
      </w:r>
      <w:hyperlink r:id="rId24">
        <w:r w:rsidDel="00000000" w:rsidR="00000000" w:rsidRPr="00000000">
          <w:rPr>
            <w:rFonts w:ascii="Google Sans" w:cs="Google Sans" w:eastAsia="Google Sans" w:hAnsi="Google Sans"/>
            <w:color w:val="0000ee"/>
            <w:sz w:val="24"/>
            <w:szCs w:val="24"/>
            <w:u w:val="single"/>
            <w:rtl w:val="0"/>
          </w:rPr>
          <w:t xml:space="preserve">https://www.aifalabs.com/es/edge-ai-computer-vision</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Comprehensive Guide to Phone 3D Scanning with LiDAR iPhone and Top 3D Apps, fecha de acceso: marzo 14, 2026, </w:t>
      </w:r>
      <w:hyperlink r:id="rId25">
        <w:r w:rsidDel="00000000" w:rsidR="00000000" w:rsidRPr="00000000">
          <w:rPr>
            <w:rFonts w:ascii="Google Sans" w:cs="Google Sans" w:eastAsia="Google Sans" w:hAnsi="Google Sans"/>
            <w:color w:val="0000ee"/>
            <w:sz w:val="24"/>
            <w:szCs w:val="24"/>
            <w:u w:val="single"/>
            <w:rtl w:val="0"/>
          </w:rPr>
          <w:t xml:space="preserve">https://www.3dmag.com/3d-wikipedia/phone-3d-scanning-lidar-iphone-3d-apps-guide/</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fruit orchard reconstruction and geometric parameter estimation using LiDAR-based SLAM systems | SPIE Sensors + Imaging, fecha de acceso: marzo 14, 2026, </w:t>
      </w:r>
      <w:hyperlink r:id="rId26">
        <w:r w:rsidDel="00000000" w:rsidR="00000000" w:rsidRPr="00000000">
          <w:rPr>
            <w:rFonts w:ascii="Google Sans" w:cs="Google Sans" w:eastAsia="Google Sans" w:hAnsi="Google Sans"/>
            <w:color w:val="0000ee"/>
            <w:sz w:val="24"/>
            <w:szCs w:val="24"/>
            <w:u w:val="single"/>
            <w:rtl w:val="0"/>
          </w:rPr>
          <w:t xml:space="preserve">https://spie.org/spie-sensors-imaging/presentation/3D-fruit-orchard-reconstruction-and-geometric-parameter-estimation-using-LiDAR/13666-73</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Mobile LiDAR Scanning System Combined with Canopy Morphology Extracting Methods for Tree Crown Parameters Evaluation in Orchards - MDPI, fecha de acceso: marzo 14, 2026, </w:t>
      </w:r>
      <w:hyperlink r:id="rId27">
        <w:r w:rsidDel="00000000" w:rsidR="00000000" w:rsidRPr="00000000">
          <w:rPr>
            <w:rFonts w:ascii="Google Sans" w:cs="Google Sans" w:eastAsia="Google Sans" w:hAnsi="Google Sans"/>
            <w:color w:val="0000ee"/>
            <w:sz w:val="24"/>
            <w:szCs w:val="24"/>
            <w:u w:val="single"/>
            <w:rtl w:val="0"/>
          </w:rPr>
          <w:t xml:space="preserve">https://www.mdpi.com/1424-8220/21/2/339</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Plant Biomass Measurements: Integrating Smartphone-based 3D Scanning Techniques for Enhanced Ecosystem Monitoring - EcoEvoRxiv, fecha de acceso: marzo 14, 2026, </w:t>
      </w:r>
      <w:hyperlink r:id="rId28">
        <w:r w:rsidDel="00000000" w:rsidR="00000000" w:rsidRPr="00000000">
          <w:rPr>
            <w:rFonts w:ascii="Google Sans" w:cs="Google Sans" w:eastAsia="Google Sans" w:hAnsi="Google Sans"/>
            <w:color w:val="0000ee"/>
            <w:sz w:val="24"/>
            <w:szCs w:val="24"/>
            <w:u w:val="single"/>
            <w:rtl w:val="0"/>
          </w:rPr>
          <w:t xml:space="preserve">https://ecoevorxiv.org/repository/object/8165/download/15344/</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FF3D: A Rapid and Accurate 3D Fruit Detector for Robotic Harvesting - MDPI, fecha de acceso: marzo 14, 2026, </w:t>
      </w:r>
      <w:hyperlink r:id="rId29">
        <w:r w:rsidDel="00000000" w:rsidR="00000000" w:rsidRPr="00000000">
          <w:rPr>
            <w:rFonts w:ascii="Google Sans" w:cs="Google Sans" w:eastAsia="Google Sans" w:hAnsi="Google Sans"/>
            <w:color w:val="0000ee"/>
            <w:sz w:val="24"/>
            <w:szCs w:val="24"/>
            <w:u w:val="single"/>
            <w:rtl w:val="0"/>
          </w:rPr>
          <w:t xml:space="preserve">https://www.mdpi.com/1424-8220/24/12/3858</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Simplified Deep Learning for Accessible Fruit Quality Assessment in Small Agricultural Operations - MDPI, fecha de acceso: marzo 14, 2026, </w:t>
      </w:r>
      <w:hyperlink r:id="rId30">
        <w:r w:rsidDel="00000000" w:rsidR="00000000" w:rsidRPr="00000000">
          <w:rPr>
            <w:rFonts w:ascii="Google Sans" w:cs="Google Sans" w:eastAsia="Google Sans" w:hAnsi="Google Sans"/>
            <w:color w:val="0000ee"/>
            <w:sz w:val="24"/>
            <w:szCs w:val="24"/>
            <w:u w:val="single"/>
            <w:rtl w:val="0"/>
          </w:rPr>
          <w:t xml:space="preserve">https://www.mdpi.com/2076-3417/14/18/8243</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Edge-AI for Agriculture: Lightweight Vision Models for Disease Detection in Resource-Limited Settings - Semantic Scholar, fecha de acceso: marzo 14, 2026, </w:t>
      </w:r>
      <w:hyperlink r:id="rId31">
        <w:r w:rsidDel="00000000" w:rsidR="00000000" w:rsidRPr="00000000">
          <w:rPr>
            <w:rFonts w:ascii="Google Sans" w:cs="Google Sans" w:eastAsia="Google Sans" w:hAnsi="Google Sans"/>
            <w:color w:val="0000ee"/>
            <w:sz w:val="24"/>
            <w:szCs w:val="24"/>
            <w:u w:val="single"/>
            <w:rtl w:val="0"/>
          </w:rPr>
          <w:t xml:space="preserve">https://www.semanticscholar.org/paper/Edge-AI-for-Agriculture%3A-Lightweight-Vision-Models-Joshi/398cdbba6fea0f6af92324f97851986943132fd2</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PRECISIÓN DE LA FARM | Gemini API Developer Competition | Google AI for Developers, fecha de acceso: marzo 14, 2026, </w:t>
      </w:r>
      <w:hyperlink r:id="rId32">
        <w:r w:rsidDel="00000000" w:rsidR="00000000" w:rsidRPr="00000000">
          <w:rPr>
            <w:rFonts w:ascii="Google Sans" w:cs="Google Sans" w:eastAsia="Google Sans" w:hAnsi="Google Sans"/>
            <w:color w:val="0000ee"/>
            <w:sz w:val="24"/>
            <w:szCs w:val="24"/>
            <w:u w:val="single"/>
            <w:rtl w:val="0"/>
          </w:rPr>
          <w:t xml:space="preserve">https://ai.google.dev/competition/projects/farm-precise?hl=es-419</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1.5 Pro - Prompt Engineering Guide, fecha de acceso: marzo 14, 2026, </w:t>
      </w:r>
      <w:hyperlink r:id="rId33">
        <w:r w:rsidDel="00000000" w:rsidR="00000000" w:rsidRPr="00000000">
          <w:rPr>
            <w:rFonts w:ascii="Google Sans" w:cs="Google Sans" w:eastAsia="Google Sans" w:hAnsi="Google Sans"/>
            <w:color w:val="0000ee"/>
            <w:sz w:val="24"/>
            <w:szCs w:val="24"/>
            <w:u w:val="single"/>
            <w:rtl w:val="0"/>
          </w:rPr>
          <w:t xml:space="preserve">https://www.promptingguide.ai/models/gemini-pro</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model updates, moving Gen AI to production with Vertex AI | Google Cloud Blog, fecha de acceso: marzo 14, 2026, </w:t>
      </w:r>
      <w:hyperlink r:id="rId34">
        <w:r w:rsidDel="00000000" w:rsidR="00000000" w:rsidRPr="00000000">
          <w:rPr>
            <w:rFonts w:ascii="Google Sans" w:cs="Google Sans" w:eastAsia="Google Sans" w:hAnsi="Google Sans"/>
            <w:color w:val="0000ee"/>
            <w:sz w:val="24"/>
            <w:szCs w:val="24"/>
            <w:u w:val="single"/>
            <w:rtl w:val="0"/>
          </w:rPr>
          <w:t xml:space="preserve">https://cloud.google.com/blog/products/ai-machine-learning/experimentation-to-production-with-gemini-and-vertex-ai</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Multimodal prompting with a 44-minute movie | Gemini 1.5 Pro Demo - YouTube, fecha de acceso: marzo 14,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https://www.youtube.com/watch?v=wa0MT8OwHuk</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AGMMU: A Comprehensive Agricultural Multimodal Understanding Benchmark - Illinois, fecha de acceso: marzo 14, 2026, </w:t>
      </w:r>
      <w:hyperlink r:id="rId36">
        <w:r w:rsidDel="00000000" w:rsidR="00000000" w:rsidRPr="00000000">
          <w:rPr>
            <w:rFonts w:ascii="Google Sans" w:cs="Google Sans" w:eastAsia="Google Sans" w:hAnsi="Google Sans"/>
            <w:color w:val="0000ee"/>
            <w:sz w:val="24"/>
            <w:szCs w:val="24"/>
            <w:u w:val="single"/>
            <w:rtl w:val="0"/>
          </w:rPr>
          <w:t xml:space="preserve">https://yxw.cs.illinois.edu/files/AgMMU_NeurIPS2025Benchmark.pdf</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Multi-Modal LLMs in Agriculture: A Comprehensive Review - ResearchGate, fecha de acceso: marzo 14,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https://www.researchgate.net/publication/384110538_Multi-Modal_LLMs_in_Agriculture_A_Comprehensive_Review</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Model Context Protocol (MCP)? A guide | Google Cloud, fecha de acceso: marzo 14, 2026, </w:t>
      </w:r>
      <w:hyperlink r:id="rId38">
        <w:r w:rsidDel="00000000" w:rsidR="00000000" w:rsidRPr="00000000">
          <w:rPr>
            <w:rFonts w:ascii="Google Sans" w:cs="Google Sans" w:eastAsia="Google Sans" w:hAnsi="Google Sans"/>
            <w:color w:val="0000ee"/>
            <w:sz w:val="24"/>
            <w:szCs w:val="24"/>
            <w:u w:val="single"/>
            <w:rtl w:val="0"/>
          </w:rPr>
          <w:t xml:space="preserve">https://cloud.google.com/discover/what-is-model-context-protocol</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Servers - AI Agents from scratch - Bizagi Cloud Platform, fecha de acceso: marzo 14, 2026, </w:t>
      </w:r>
      <w:hyperlink r:id="rId39">
        <w:r w:rsidDel="00000000" w:rsidR="00000000" w:rsidRPr="00000000">
          <w:rPr>
            <w:rFonts w:ascii="Google Sans" w:cs="Google Sans" w:eastAsia="Google Sans" w:hAnsi="Google Sans"/>
            <w:color w:val="0000ee"/>
            <w:sz w:val="24"/>
            <w:szCs w:val="24"/>
            <w:u w:val="single"/>
            <w:rtl w:val="0"/>
          </w:rPr>
          <w:t xml:space="preserve">https://help.bizagi.com/platform/en/mcp-servers.htm</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Estimation of the Weight and Volume of Lime (Citrus aurantifolia (Christm.) Swingle) Fruit Using Computer Vision Based on Traditional Machine Learning and Deep Learning - MDPI, fecha de acceso: marzo 14, 2026, </w:t>
      </w:r>
      <w:hyperlink r:id="rId40">
        <w:r w:rsidDel="00000000" w:rsidR="00000000" w:rsidRPr="00000000">
          <w:rPr>
            <w:rFonts w:ascii="Google Sans" w:cs="Google Sans" w:eastAsia="Google Sans" w:hAnsi="Google Sans"/>
            <w:color w:val="0000ee"/>
            <w:sz w:val="24"/>
            <w:szCs w:val="24"/>
            <w:u w:val="single"/>
            <w:rtl w:val="0"/>
          </w:rPr>
          <w:t xml:space="preserve">https://www.mdpi.com/2073-4395/14/10/2434</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Calculation method of canopy effective volume for fruit tree based on LiDAR point cloud data, fecha de acceso: marzo 14, 2026,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https://pmc.ncbi.nlm.nih.gov/articles/PMC12670177/</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3D reconstruction for accurate measurement of appearance characteristics in shiny fruits using post-harvest particle film, fecha de acceso: marzo 14, 2026, </w:t>
      </w:r>
      <w:hyperlink r:id="rId42">
        <w:r w:rsidDel="00000000" w:rsidR="00000000" w:rsidRPr="00000000">
          <w:rPr>
            <w:rFonts w:ascii="Google Sans" w:cs="Google Sans" w:eastAsia="Google Sans" w:hAnsi="Google Sans"/>
            <w:color w:val="0000ee"/>
            <w:sz w:val="24"/>
            <w:szCs w:val="24"/>
            <w:u w:val="single"/>
            <w:rtl w:val="0"/>
          </w:rPr>
          <w:t xml:space="preserve">https://www.fs.usda.gov/nrs/pubs/jrnl/2024/nrs_2024_masoudi_001.pdf</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Advancing plant biomass measurements: Integrating smartphone‐based 3D scanning techniques for enhanced ecosystem monitoring - ResearchGate, fecha de acceso: marzo 14, 2026, </w:t>
      </w:r>
      <w:hyperlink r:id="rId43">
        <w:r w:rsidDel="00000000" w:rsidR="00000000" w:rsidRPr="00000000">
          <w:rPr>
            <w:rFonts w:ascii="Google Sans" w:cs="Google Sans" w:eastAsia="Google Sans" w:hAnsi="Google Sans"/>
            <w:color w:val="0000ee"/>
            <w:sz w:val="24"/>
            <w:szCs w:val="24"/>
            <w:u w:val="single"/>
            <w:rtl w:val="0"/>
          </w:rPr>
          <w:t xml:space="preserve">https://www.researchgate.net/publication/392790307_Advancing_plant_biomass_measurements_Integrating_smartphone-based_3D_scanning_techniques_for_enhanced_ecosystem_monitoring</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Mobile LiDAR Scanning System Combined with Canopy Morphology Extracting Methods for Tree Crown Parameters Evaluation in Orchards - ResearchGate, fecha de acceso: marzo 14, 2026,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https://www.researchgate.net/publication/348277074_Mobile_LiDAR_Scanning_System_Combined_with_Canopy_Morphology_Extracting_Methods_for_Tree_Crown_Parameters_Evaluation_in_Orchards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3D volumetric modeling of grapevine biomass using Tripod LiDAR - USGS.gov, fecha de acceso: marzo 14, 2026, </w:t>
      </w:r>
      <w:hyperlink r:id="rId45">
        <w:r w:rsidDel="00000000" w:rsidR="00000000" w:rsidRPr="00000000">
          <w:rPr>
            <w:rFonts w:ascii="Google Sans" w:cs="Google Sans" w:eastAsia="Google Sans" w:hAnsi="Google Sans"/>
            <w:color w:val="0000ee"/>
            <w:sz w:val="24"/>
            <w:szCs w:val="24"/>
            <w:u w:val="single"/>
            <w:rtl w:val="0"/>
          </w:rPr>
          <w:t xml:space="preserve">https://www.usgs.gov/publications/3d-volumetric-modeling-grapevine-biomass-using-tripod-lidar</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of Allometric Equations to Determine the Biomass of Plant Components and the Total Storage of Carbon Dioxide in Young Mediterranean Argan Trees - MDPI, fecha de acceso: marzo 14, 2026, </w:t>
      </w:r>
      <w:hyperlink r:id="rId46">
        <w:r w:rsidDel="00000000" w:rsidR="00000000" w:rsidRPr="00000000">
          <w:rPr>
            <w:rFonts w:ascii="Google Sans" w:cs="Google Sans" w:eastAsia="Google Sans" w:hAnsi="Google Sans"/>
            <w:color w:val="0000ee"/>
            <w:sz w:val="24"/>
            <w:szCs w:val="24"/>
            <w:u w:val="single"/>
            <w:rtl w:val="0"/>
          </w:rPr>
          <w:t xml:space="preserve">https://www.mdpi.com/2071-1050/16/11/4592</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Allometric equations for aboveground biomass estimation of Diospyros abyssinica (Hiern) F. White tree species - Taylor &amp; Francis, fecha de acceso: marzo 14, 2026, </w:t>
      </w:r>
      <w:hyperlink r:id="rId47">
        <w:r w:rsidDel="00000000" w:rsidR="00000000" w:rsidRPr="00000000">
          <w:rPr>
            <w:rFonts w:ascii="Google Sans" w:cs="Google Sans" w:eastAsia="Google Sans" w:hAnsi="Google Sans"/>
            <w:color w:val="0000ee"/>
            <w:sz w:val="24"/>
            <w:szCs w:val="24"/>
            <w:u w:val="single"/>
            <w:rtl w:val="0"/>
          </w:rPr>
          <w:t xml:space="preserve">https://www.tandfonline.com/doi/full/10.1080/20964129.2019.1591169</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of biomass equations for China's tree species - ESSD, fecha de acceso: marzo 14, 2026, </w:t>
      </w:r>
      <w:hyperlink r:id="rId48">
        <w:r w:rsidDel="00000000" w:rsidR="00000000" w:rsidRPr="00000000">
          <w:rPr>
            <w:rFonts w:ascii="Google Sans" w:cs="Google Sans" w:eastAsia="Google Sans" w:hAnsi="Google Sans"/>
            <w:color w:val="0000ee"/>
            <w:sz w:val="24"/>
            <w:szCs w:val="24"/>
            <w:u w:val="single"/>
            <w:rtl w:val="0"/>
          </w:rPr>
          <w:t xml:space="preserve">https://essd.copernicus.org/articles/12/21/2020/</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Automatic Visual Inspection of Agricultural Grains: Demands, Potential Applications, and Challenges for Technology Transfer to the Agroindustrial Sector - MDPI, fecha de acceso: marzo 14, 2026, </w:t>
      </w:r>
      <w:hyperlink r:id="rId49">
        <w:r w:rsidDel="00000000" w:rsidR="00000000" w:rsidRPr="00000000">
          <w:rPr>
            <w:rFonts w:ascii="Google Sans" w:cs="Google Sans" w:eastAsia="Google Sans" w:hAnsi="Google Sans"/>
            <w:color w:val="0000ee"/>
            <w:sz w:val="24"/>
            <w:szCs w:val="24"/>
            <w:u w:val="single"/>
            <w:rtl w:val="0"/>
          </w:rPr>
          <w:t xml:space="preserve">https://www.mdpi.com/2624-7402/7/11/383</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Computer Vision for prediction of harvest in high stem fruits: Systematic review - LACCEI, fecha de acceso: marzo 14, 2026, </w:t>
      </w:r>
      <w:hyperlink r:id="rId50">
        <w:r w:rsidDel="00000000" w:rsidR="00000000" w:rsidRPr="00000000">
          <w:rPr>
            <w:rFonts w:ascii="Google Sans" w:cs="Google Sans" w:eastAsia="Google Sans" w:hAnsi="Google Sans"/>
            <w:color w:val="0000ee"/>
            <w:sz w:val="24"/>
            <w:szCs w:val="24"/>
            <w:u w:val="single"/>
            <w:rtl w:val="0"/>
          </w:rPr>
          <w:t xml:space="preserve">https://laccei.org/LEIRD2024-VirtualEdition/full-papers/Contribution_645_a.pdf</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 comida en código: Construyendo un agente nutricional con visión artificial y Gemini, fecha de acceso: marzo 14, 2026, </w:t>
      </w:r>
      <w:hyperlink r:id="rId51">
        <w:r w:rsidDel="00000000" w:rsidR="00000000" w:rsidRPr="00000000">
          <w:rPr>
            <w:rFonts w:ascii="Google Sans" w:cs="Google Sans" w:eastAsia="Google Sans" w:hAnsi="Google Sans"/>
            <w:color w:val="0000ee"/>
            <w:sz w:val="24"/>
            <w:szCs w:val="24"/>
            <w:u w:val="single"/>
            <w:rtl w:val="0"/>
          </w:rPr>
          <w:t xml:space="preserve">https://maureenbarahona.medium.com/tu-comida-en-c%C3%B3digo-construyendo-un-agente-nutricional-con-visi%C3%B3n-artificial-y-gemini-557bcbbac916</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Información nutricional de los alimentos | Gemini API Developer Competition, fecha de acceso: marzo 14, 2026, </w:t>
      </w:r>
      <w:hyperlink r:id="rId52">
        <w:r w:rsidDel="00000000" w:rsidR="00000000" w:rsidRPr="00000000">
          <w:rPr>
            <w:rFonts w:ascii="Google Sans" w:cs="Google Sans" w:eastAsia="Google Sans" w:hAnsi="Google Sans"/>
            <w:color w:val="0000ee"/>
            <w:sz w:val="24"/>
            <w:szCs w:val="24"/>
            <w:u w:val="single"/>
            <w:rtl w:val="0"/>
          </w:rPr>
          <w:t xml:space="preserve">https://ai.google.dev/competition/projects/food-nutrient-info?hl=es-419</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Nutrición potenciada por IA | Gemini API Developer Competition - Google AI for Developers, fecha de acceso: marzo 14, 2026, </w:t>
      </w:r>
      <w:hyperlink r:id="rId53">
        <w:r w:rsidDel="00000000" w:rsidR="00000000" w:rsidRPr="00000000">
          <w:rPr>
            <w:rFonts w:ascii="Google Sans" w:cs="Google Sans" w:eastAsia="Google Sans" w:hAnsi="Google Sans"/>
            <w:color w:val="0000ee"/>
            <w:sz w:val="24"/>
            <w:szCs w:val="24"/>
            <w:u w:val="single"/>
            <w:rtl w:val="0"/>
          </w:rPr>
          <w:t xml:space="preserve">https://ai.google.dev/competition/projects/nutrabling-ai-powered-nutrition-expert?hl=es-419</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 | UN Transparency Protocol - GitHub Pages, fecha de acceso: marzo 14, 2026, </w:t>
      </w:r>
      <w:hyperlink r:id="rId54">
        <w:r w:rsidDel="00000000" w:rsidR="00000000" w:rsidRPr="00000000">
          <w:rPr>
            <w:rFonts w:ascii="Google Sans" w:cs="Google Sans" w:eastAsia="Google Sans" w:hAnsi="Google Sans"/>
            <w:color w:val="0000ee"/>
            <w:sz w:val="24"/>
            <w:szCs w:val="24"/>
            <w:u w:val="single"/>
            <w:rtl w:val="0"/>
          </w:rPr>
          <w:t xml:space="preserve">https://uncefact.github.io/spec-untp/docs/specification/DigitalProductPassport/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Agricultural Assets Through Tokenization - RWA.io, fecha de acceso: marzo 14, 2026, </w:t>
      </w:r>
      <w:hyperlink r:id="rId55">
        <w:r w:rsidDel="00000000" w:rsidR="00000000" w:rsidRPr="00000000">
          <w:rPr>
            <w:rFonts w:ascii="Google Sans" w:cs="Google Sans" w:eastAsia="Google Sans" w:hAnsi="Google Sans"/>
            <w:color w:val="0000ee"/>
            <w:sz w:val="24"/>
            <w:szCs w:val="24"/>
            <w:u w:val="single"/>
            <w:rtl w:val="0"/>
          </w:rPr>
          <w:t xml:space="preserve">https://www.rwa.io/post/the-future-of-agricultural-assets-through-tokenization</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transformation in food manufacturing: a pathway to sustainable efficiency and quality assurance - Frontiers, fecha de acceso: marzo 14, 2026, </w:t>
      </w:r>
      <w:hyperlink r:id="rId56">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https://www.frontiersin.org/journals/nutrition/articles/10.3389/fnut.2025.1553942/full</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Spectroscopic, Imaging, and Nanotechnology Tools for Diagnosing Fungal Diseases in Fruits - PMC, fecha de acceso: marzo 14,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https://pmc.ncbi.nlm.nih.gov/articles/PMC12968061/</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 deep learning method for fruit decay detection and plant identification: enhancing food security and quality control - Frontiers, fecha de acceso: marzo 14, 2026, </w:t>
      </w:r>
      <w:hyperlink r:id="rId58">
        <w:r w:rsidDel="00000000" w:rsidR="00000000" w:rsidRPr="00000000">
          <w:rPr>
            <w:rFonts w:ascii="Google Sans" w:cs="Google Sans" w:eastAsia="Google Sans" w:hAnsi="Google Sans"/>
            <w:color w:val="0000ee"/>
            <w:sz w:val="24"/>
            <w:szCs w:val="24"/>
            <w:u w:val="single"/>
            <w:rtl w:val="0"/>
          </w:rPr>
          <w:t xml:space="preserve">https://www.frontiersin.org/journals/plant-science/articles/10.3389/fpls.2024.1366395/full</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detection and spectral signature identification of tomato fungal diseases (Alternaria alternata, Alternaria solani, Botrytis cinerea, and Fusarium oxysporum) by RGB and hyperspectral image analysis and machine learning - PMC, fecha de acceso: marzo 14, 2026,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https://pmc.ncbi.nlm.nih.gov/articles/PMC11462246/</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Hyperspectral Method to Detect Moldy Core in Apple Fruits - MDPI, fecha de acceso: marzo 14, 2026, </w:t>
      </w:r>
      <w:hyperlink r:id="rId60">
        <w:r w:rsidDel="00000000" w:rsidR="00000000" w:rsidRPr="00000000">
          <w:rPr>
            <w:rFonts w:ascii="Google Sans" w:cs="Google Sans" w:eastAsia="Google Sans" w:hAnsi="Google Sans"/>
            <w:color w:val="0000ee"/>
            <w:sz w:val="24"/>
            <w:szCs w:val="24"/>
            <w:u w:val="single"/>
            <w:rtl w:val="0"/>
          </w:rPr>
          <w:t xml:space="preserve">https://www.mdpi.com/1424-8220/22/12/4479</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 para mejorar detección de enfermedades en cultivo de frutillas - Portal Frutícola, fecha de acceso: marzo 14, 2026, </w:t>
      </w:r>
      <w:hyperlink r:id="rId61">
        <w:r w:rsidDel="00000000" w:rsidR="00000000" w:rsidRPr="00000000">
          <w:rPr>
            <w:rFonts w:ascii="Google Sans" w:cs="Google Sans" w:eastAsia="Google Sans" w:hAnsi="Google Sans"/>
            <w:color w:val="0000ee"/>
            <w:sz w:val="24"/>
            <w:szCs w:val="24"/>
            <w:u w:val="single"/>
            <w:rtl w:val="0"/>
          </w:rPr>
          <w:t xml:space="preserve">https://www.portalfruticola.com/noticias/2024/09/12/ia-para-mejorar-deteccion-de-enfermedades-en-cultivo-de-frutillas/</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Recognition and Counting of Apples in a Dynamic State Using a 3D Camera and Deep Learning Algorithms for Robotic Harvesting Systems - MDPI, fecha de acceso: marzo 14, 2026, </w:t>
      </w:r>
      <w:hyperlink r:id="rId62">
        <w:r w:rsidDel="00000000" w:rsidR="00000000" w:rsidRPr="00000000">
          <w:rPr>
            <w:rFonts w:ascii="Google Sans" w:cs="Google Sans" w:eastAsia="Google Sans" w:hAnsi="Google Sans"/>
            <w:color w:val="0000ee"/>
            <w:sz w:val="24"/>
            <w:szCs w:val="24"/>
            <w:u w:val="single"/>
            <w:rtl w:val="0"/>
          </w:rPr>
          <w:t xml:space="preserve">https://www.mdpi.com/1424-8220/23/8/3810</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In Agriculture 2025: Trends &amp; Eco Advancements - Farmonaut, fecha de acceso: marzo 14, 2026, </w:t>
      </w:r>
      <w:hyperlink r:id="rId63">
        <w:r w:rsidDel="00000000" w:rsidR="00000000" w:rsidRPr="00000000">
          <w:rPr>
            <w:rFonts w:ascii="Google Sans" w:cs="Google Sans" w:eastAsia="Google Sans" w:hAnsi="Google Sans"/>
            <w:color w:val="0000ee"/>
            <w:sz w:val="24"/>
            <w:szCs w:val="24"/>
            <w:u w:val="single"/>
            <w:rtl w:val="0"/>
          </w:rPr>
          <w:t xml:space="preserve">https://farmonaut.com/precision-farming/edge-ai-in-agriculture-2025-trends-eco-advancements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Revolutionizes Food Safety and Quality Control Market - BCC Research, fecha de acceso: marzo 14, 2026, </w:t>
      </w:r>
      <w:hyperlink r:id="rId64">
        <w:r w:rsidDel="00000000" w:rsidR="00000000" w:rsidRPr="00000000">
          <w:rPr>
            <w:rFonts w:ascii="Google Sans" w:cs="Google Sans" w:eastAsia="Google Sans" w:hAnsi="Google Sans"/>
            <w:color w:val="0000ee"/>
            <w:sz w:val="24"/>
            <w:szCs w:val="24"/>
            <w:u w:val="single"/>
            <w:rtl w:val="0"/>
          </w:rPr>
          <w:t xml:space="preserve">https://www.bccresearch.com/pressroom/ift/ai-revolutionizes-food-safety-and-quality-control-market</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Real-World Asset Tokenization Fixes Supply Chains | by Jay | Feb, 2026 | Medium, fecha de acceso: marzo 14, 2026, </w:t>
      </w:r>
      <w:hyperlink r:id="rId65">
        <w:r w:rsidDel="00000000" w:rsidR="00000000" w:rsidRPr="00000000">
          <w:rPr>
            <w:rFonts w:ascii="Google Sans" w:cs="Google Sans" w:eastAsia="Google Sans" w:hAnsi="Google Sans"/>
            <w:color w:val="0000ee"/>
            <w:sz w:val="24"/>
            <w:szCs w:val="24"/>
            <w:u w:val="single"/>
            <w:rtl w:val="0"/>
          </w:rPr>
          <w:t xml:space="preserve">https://medium.com/@seaflux/how-real-world-asset-tokenization-fixes-supply-chains-269e7427f5d5</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Tokenización de productos agrícolas una nueva frontera para DeSci y RWA, fecha de acceso: marzo 14, 2026, </w:t>
      </w:r>
      <w:hyperlink r:id="rId66">
        <w:r w:rsidDel="00000000" w:rsidR="00000000" w:rsidRPr="00000000">
          <w:rPr>
            <w:rFonts w:ascii="Google Sans" w:cs="Google Sans" w:eastAsia="Google Sans" w:hAnsi="Google Sans"/>
            <w:color w:val="0000ee"/>
            <w:sz w:val="24"/>
            <w:szCs w:val="24"/>
            <w:u w:val="single"/>
            <w:rtl w:val="0"/>
          </w:rPr>
          <w:t xml:space="preserve">https://grupotafatrans.com/2026030942846896.shtml</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D3.1 Annex: DPP Related Initiatives - CIRPASS, fecha de acceso: marzo 14, 2026, </w:t>
      </w:r>
      <w:hyperlink r:id="rId67">
        <w:r w:rsidDel="00000000" w:rsidR="00000000" w:rsidRPr="00000000">
          <w:rPr>
            <w:rFonts w:ascii="Google Sans" w:cs="Google Sans" w:eastAsia="Google Sans" w:hAnsi="Google Sans"/>
            <w:color w:val="0000ee"/>
            <w:sz w:val="24"/>
            <w:szCs w:val="24"/>
            <w:u w:val="single"/>
            <w:rtl w:val="0"/>
          </w:rPr>
          <w:t xml:space="preserve">https://cirpassproject.eu/wp-content/uploads/2023/06/CIRPASS-D3.1-Annex-V2_June-1st.pdf</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Blockchain-Enabled Supply Chain Management: A Review of Security, Traceability, and Data Integrity Amid the Evolving Systemic Demand - MDPI, fecha de acceso: marzo 14, 2026, </w:t>
      </w:r>
      <w:hyperlink r:id="rId68">
        <w:r w:rsidDel="00000000" w:rsidR="00000000" w:rsidRPr="00000000">
          <w:rPr>
            <w:rFonts w:ascii="Google Sans" w:cs="Google Sans" w:eastAsia="Google Sans" w:hAnsi="Google Sans"/>
            <w:color w:val="0000ee"/>
            <w:sz w:val="24"/>
            <w:szCs w:val="24"/>
            <w:u w:val="single"/>
            <w:rtl w:val="0"/>
          </w:rPr>
          <w:t xml:space="preserve">https://www.mdpi.com/2076-3417/15/9/5168</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Traceability Systems with Smart Contracts: Balancing On-Chain and Off-Chain Data Storage for Enhanced Scalability and Privacy - MDPI, fecha de acceso: marzo 14, 2026, </w:t>
      </w:r>
      <w:hyperlink r:id="rId69">
        <w:r w:rsidDel="00000000" w:rsidR="00000000" w:rsidRPr="00000000">
          <w:rPr>
            <w:rFonts w:ascii="Google Sans" w:cs="Google Sans" w:eastAsia="Google Sans" w:hAnsi="Google Sans"/>
            <w:color w:val="0000ee"/>
            <w:sz w:val="24"/>
            <w:szCs w:val="24"/>
            <w:u w:val="single"/>
            <w:rtl w:val="0"/>
          </w:rPr>
          <w:t xml:space="preserve">https://www.mdpi.com/2076-3417/14/23/11078</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"ERC721 protocol" be used for supply chain traceability and integrity?, fecha de acceso: marzo 14, 2026, </w:t>
      </w:r>
      <w:hyperlink r:id="rId70">
        <w:r w:rsidDel="00000000" w:rsidR="00000000" w:rsidRPr="00000000">
          <w:rPr>
            <w:rFonts w:ascii="Google Sans" w:cs="Google Sans" w:eastAsia="Google Sans" w:hAnsi="Google Sans"/>
            <w:color w:val="0000ee"/>
            <w:sz w:val="24"/>
            <w:szCs w:val="24"/>
            <w:u w:val="single"/>
            <w:rtl w:val="0"/>
          </w:rPr>
          <w:t xml:space="preserve">https://ethereum.stackexchange.com/questions/35261/can-erc721-protocol-be-used-for-supply-chain-traceability-and-integrity</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Logistics: A digital solution for data-sharing across Europe | Gaia-X, fecha de acceso: marzo 14, 2026, </w:t>
      </w:r>
      <w:hyperlink r:id="rId71">
        <w:r w:rsidDel="00000000" w:rsidR="00000000" w:rsidRPr="00000000">
          <w:rPr>
            <w:rFonts w:ascii="Google Sans" w:cs="Google Sans" w:eastAsia="Google Sans" w:hAnsi="Google Sans"/>
            <w:color w:val="0000ee"/>
            <w:sz w:val="24"/>
            <w:szCs w:val="24"/>
            <w:u w:val="single"/>
            <w:rtl w:val="0"/>
          </w:rPr>
          <w:t xml:space="preserve">https://gaia-x.eu/summit-2023/wp-content/uploads/2023/11/2.6.SIMPLE-Logistics.-A-digital-solution-for-data-sharing-across-Europe.pdf</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Metadata Standards - OpenSea Developer Documentation, fecha de acceso: marzo 14, 2026, </w:t>
      </w:r>
      <w:hyperlink r:id="rId72">
        <w:r w:rsidDel="00000000" w:rsidR="00000000" w:rsidRPr="00000000">
          <w:rPr>
            <w:rFonts w:ascii="Google Sans" w:cs="Google Sans" w:eastAsia="Google Sans" w:hAnsi="Google Sans"/>
            <w:color w:val="0000ee"/>
            <w:sz w:val="24"/>
            <w:szCs w:val="24"/>
            <w:u w:val="single"/>
            <w:rtl w:val="0"/>
          </w:rPr>
          <w:t xml:space="preserve">https://docs.opensea.io/docs/metadata-standards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Ways Smart Contract Development Streamlines Supply Chain Management - Blog, fecha de acceso: marzo 14, 2026, </w:t>
      </w:r>
      <w:hyperlink r:id="rId73">
        <w:r w:rsidDel="00000000" w:rsidR="00000000" w:rsidRPr="00000000">
          <w:rPr>
            <w:rFonts w:ascii="Google Sans" w:cs="Google Sans" w:eastAsia="Google Sans" w:hAnsi="Google Sans"/>
            <w:color w:val="0000ee"/>
            <w:sz w:val="24"/>
            <w:szCs w:val="24"/>
            <w:u w:val="single"/>
            <w:rtl w:val="0"/>
          </w:rPr>
          <w:t xml:space="preserve">https://blog.gettransport.com/trends-in-logistic/3-ways-smart-contract-development-streamlines-supply-chain-management/</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Food Traceability: Enhancing Transparency and Safety - Dock Labs, fecha de acceso: marzo 14, 2026, </w:t>
      </w:r>
      <w:hyperlink r:id="rId74">
        <w:r w:rsidDel="00000000" w:rsidR="00000000" w:rsidRPr="00000000">
          <w:rPr>
            <w:rFonts w:ascii="Google Sans" w:cs="Google Sans" w:eastAsia="Google Sans" w:hAnsi="Google Sans"/>
            <w:color w:val="0000ee"/>
            <w:sz w:val="24"/>
            <w:szCs w:val="24"/>
            <w:u w:val="single"/>
            <w:rtl w:val="0"/>
          </w:rPr>
          <w:t xml:space="preserve">https://www.dock.io/post/blockchain-food-traceability</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 Implementation: Step‑by‑Step Guide for 2026 Compliance, fecha de acceso: marzo 14, 2026, </w:t>
      </w:r>
      <w:hyperlink r:id="rId75">
        <w:r w:rsidDel="00000000" w:rsidR="00000000" w:rsidRPr="00000000">
          <w:rPr>
            <w:rFonts w:ascii="Google Sans" w:cs="Google Sans" w:eastAsia="Google Sans" w:hAnsi="Google Sans"/>
            <w:color w:val="0000ee"/>
            <w:sz w:val="24"/>
            <w:szCs w:val="24"/>
            <w:u w:val="single"/>
            <w:rtl w:val="0"/>
          </w:rPr>
          <w:t xml:space="preserve">https://tracextech.com/digital-product-passport-implementation-guide/</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EU's Digital Product Passport: Advancing transparency and sustainability | data.europa.eu, fecha de acceso: marzo 14, 2026, </w:t>
      </w:r>
      <w:hyperlink r:id="rId76">
        <w:r w:rsidDel="00000000" w:rsidR="00000000" w:rsidRPr="00000000">
          <w:rPr>
            <w:rFonts w:ascii="Google Sans" w:cs="Google Sans" w:eastAsia="Google Sans" w:hAnsi="Google Sans"/>
            <w:color w:val="0000ee"/>
            <w:sz w:val="24"/>
            <w:szCs w:val="24"/>
            <w:u w:val="single"/>
            <w:rtl w:val="0"/>
          </w:rPr>
          <w:t xml:space="preserve">https://data.europa.eu/en/news-events/news/eus-digital-product-passport-advancing-transparency-and-sustainability</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Tokenized Product Passport for Circular Construction Supply Chains - ETH Research Collection, fecha de acceso: marzo 14, 2026, </w:t>
      </w:r>
      <w:hyperlink r:id="rId77">
        <w:r w:rsidDel="00000000" w:rsidR="00000000" w:rsidRPr="00000000">
          <w:rPr>
            <w:rFonts w:ascii="Google Sans" w:cs="Google Sans" w:eastAsia="Google Sans" w:hAnsi="Google Sans"/>
            <w:color w:val="0000ee"/>
            <w:sz w:val="24"/>
            <w:szCs w:val="24"/>
            <w:u w:val="single"/>
            <w:rtl w:val="0"/>
          </w:rPr>
          <w:t xml:space="preserve">https://www.research-collection.ethz.ch/bitstreams/4aa420ed-8624-4e55-8df9-1d1472761985/download</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 | UN Transparency Protocol - UNECE, fecha de acceso: marzo 14, 2026, </w:t>
      </w:r>
      <w:hyperlink r:id="rId78">
        <w:r w:rsidDel="00000000" w:rsidR="00000000" w:rsidRPr="00000000">
          <w:rPr>
            <w:rFonts w:ascii="Google Sans" w:cs="Google Sans" w:eastAsia="Google Sans" w:hAnsi="Google Sans"/>
            <w:color w:val="0000ee"/>
            <w:sz w:val="24"/>
            <w:szCs w:val="24"/>
            <w:u w:val="single"/>
            <w:rtl w:val="0"/>
          </w:rPr>
          <w:t xml:space="preserve">https://untp.unece.org/docs/specification/DigitalProductPassport</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Supply Chain Traceability for Digital Product Passports (DPPs), fecha de acceso: marzo 14, 2026, </w:t>
      </w:r>
      <w:hyperlink r:id="rId79">
        <w:r w:rsidDel="00000000" w:rsidR="00000000" w:rsidRPr="00000000">
          <w:rPr>
            <w:rFonts w:ascii="Google Sans" w:cs="Google Sans" w:eastAsia="Google Sans" w:hAnsi="Google Sans"/>
            <w:color w:val="0000ee"/>
            <w:sz w:val="24"/>
            <w:szCs w:val="24"/>
            <w:u w:val="single"/>
            <w:rtl w:val="0"/>
          </w:rPr>
          <w:t xml:space="preserve">https://tracextech.com/supply-chain-traceability-for-digital-product-passport/</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SFDA Enables Consumers to Trace Food Sources Using Blockchain Technology, fecha de acceso: marzo 14, 2026, </w:t>
      </w:r>
      <w:hyperlink r:id="rId80">
        <w:r w:rsidDel="00000000" w:rsidR="00000000" w:rsidRPr="00000000">
          <w:rPr>
            <w:rFonts w:ascii="Google Sans" w:cs="Google Sans" w:eastAsia="Google Sans" w:hAnsi="Google Sans"/>
            <w:color w:val="0000ee"/>
            <w:sz w:val="24"/>
            <w:szCs w:val="24"/>
            <w:u w:val="single"/>
            <w:rtl w:val="0"/>
          </w:rPr>
          <w:t xml:space="preserve">http://www.sfda.gov.sa/en/news/88204</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Paper Electronic Sanitary and Phytosanitary (SPS) Certificates in the Context of Paperless Trade - STDF, fecha de acceso: marzo 14, 2026, </w:t>
      </w:r>
      <w:hyperlink r:id="rId81">
        <w:r w:rsidDel="00000000" w:rsidR="00000000" w:rsidRPr="00000000">
          <w:rPr>
            <w:rFonts w:ascii="Google Sans" w:cs="Google Sans" w:eastAsia="Google Sans" w:hAnsi="Google Sans"/>
            <w:color w:val="0000ee"/>
            <w:sz w:val="24"/>
            <w:szCs w:val="24"/>
            <w:u w:val="single"/>
            <w:rtl w:val="0"/>
          </w:rPr>
          <w:t xml:space="preserve">https://www.standardsfacility.org/sites/default/files/SPS_Ecert_Backgroundpaper.pdf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Tokenizing Agriculture: Unlocking Liquidity, Transparency, and Sustainable Growth in Farming - Zoniqx, fecha de acceso: marzo 14, 2026, </w:t>
      </w:r>
      <w:hyperlink r:id="rId82">
        <w:r w:rsidDel="00000000" w:rsidR="00000000" w:rsidRPr="00000000">
          <w:rPr>
            <w:rFonts w:ascii="Google Sans" w:cs="Google Sans" w:eastAsia="Google Sans" w:hAnsi="Google Sans"/>
            <w:color w:val="0000ee"/>
            <w:sz w:val="24"/>
            <w:szCs w:val="24"/>
            <w:u w:val="single"/>
            <w:rtl w:val="0"/>
          </w:rPr>
          <w:t xml:space="preserve">https://www.zoniqx.com/resources/tokenizing-agriculture-unlocking-liquidity-transparency-and-sustainable-growth-in-farming</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Smart Contracts Are Impacting Supply Chains - Logistics Viewpoints, fecha de acceso: marzo 14, 2026, </w:t>
      </w:r>
      <w:hyperlink r:id="rId83">
        <w:r w:rsidDel="00000000" w:rsidR="00000000" w:rsidRPr="00000000">
          <w:rPr>
            <w:rFonts w:ascii="Google Sans" w:cs="Google Sans" w:eastAsia="Google Sans" w:hAnsi="Google Sans"/>
            <w:color w:val="0000ee"/>
            <w:sz w:val="24"/>
            <w:szCs w:val="24"/>
            <w:u w:val="single"/>
            <w:rtl w:val="0"/>
          </w:rPr>
          <w:t xml:space="preserve">https://logisticsviewpoints.com/2025/03/12/how-smart-contracts-are-impacting-supply-chains/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 Payments: Automating Payouts, Royalties, and Escrow with Blockchain - ilink, fecha de acceso: marzo 14, 2026, </w:t>
      </w:r>
      <w:hyperlink r:id="rId84">
        <w:r w:rsidDel="00000000" w:rsidR="00000000" w:rsidRPr="00000000">
          <w:rPr>
            <w:rFonts w:ascii="Google Sans" w:cs="Google Sans" w:eastAsia="Google Sans" w:hAnsi="Google Sans"/>
            <w:color w:val="0000ee"/>
            <w:sz w:val="24"/>
            <w:szCs w:val="24"/>
            <w:u w:val="single"/>
            <w:rtl w:val="0"/>
          </w:rPr>
          <w:t xml:space="preserve">https://ilink.dev/blog/smart-contract-payments-automating-payouts-royalties-and-escrow-with-blockchain</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Blockchain Defense: Oracles, Smart Contracts, and Legal Strategy in California, fecha de acceso: marzo 14, 2026, </w:t>
      </w:r>
      <w:hyperlink r:id="rId85">
        <w:r w:rsidDel="00000000" w:rsidR="00000000" w:rsidRPr="00000000">
          <w:rPr>
            <w:rFonts w:ascii="Google Sans" w:cs="Google Sans" w:eastAsia="Google Sans" w:hAnsi="Google Sans"/>
            <w:color w:val="0000ee"/>
            <w:sz w:val="24"/>
            <w:szCs w:val="24"/>
            <w:u w:val="single"/>
            <w:rtl w:val="0"/>
          </w:rPr>
          <w:t xml:space="preserve">https://www.thebulldog.law/blockchain-defense-oracles-smart-contracts-and-legal-strategy-in-california</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In Real Estate: Why 83% Of Property Deals Still Fail Without Them - Primior, fecha de acceso: marzo 14, 2026, </w:t>
      </w:r>
      <w:hyperlink r:id="rId86">
        <w:r w:rsidDel="00000000" w:rsidR="00000000" w:rsidRPr="00000000">
          <w:rPr>
            <w:rFonts w:ascii="Google Sans" w:cs="Google Sans" w:eastAsia="Google Sans" w:hAnsi="Google Sans"/>
            <w:color w:val="0000ee"/>
            <w:sz w:val="24"/>
            <w:szCs w:val="24"/>
            <w:u w:val="single"/>
            <w:rtl w:val="0"/>
          </w:rPr>
          <w:t xml:space="preserve">https://primior.com/smart-contracts-in-real-estate-why-83-of-property-deals-still-fail-without-them/</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tskoyo/Escrow-smart-contract - GitHub, fecha de acceso: marzo 14, 2026, </w:t>
      </w:r>
      <w:hyperlink r:id="rId87">
        <w:r w:rsidDel="00000000" w:rsidR="00000000" w:rsidRPr="00000000">
          <w:rPr>
            <w:rFonts w:ascii="Google Sans" w:cs="Google Sans" w:eastAsia="Google Sans" w:hAnsi="Google Sans"/>
            <w:color w:val="0000ee"/>
            <w:sz w:val="24"/>
            <w:szCs w:val="24"/>
            <w:u w:val="single"/>
            <w:rtl w:val="0"/>
          </w:rPr>
          <w:t xml:space="preserve">https://github.com/tskoyo/Escrow-smart-contract</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DeFiTrustChain: A DeFi-Enabled NFT and Escrow Framework for Secure Automotive Supply Chains in Smart Cities - PMC, fecha de acceso: marzo 14, 2026, </w:t>
      </w:r>
      <w:hyperlink r:id="rId88">
        <w:r w:rsidDel="00000000" w:rsidR="00000000" w:rsidRPr="00000000">
          <w:rPr>
            <w:rFonts w:ascii="Google Sans" w:cs="Google Sans" w:eastAsia="Google Sans" w:hAnsi="Google Sans"/>
            <w:color w:val="0000ee"/>
            <w:sz w:val="24"/>
            <w:szCs w:val="24"/>
            <w:u w:val="single"/>
            <w:rtl w:val="0"/>
          </w:rPr>
          <w:t xml:space="preserve">https://pmc.ncbi.nlm.nih.gov/articles/PMC12788356/</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Contracts for Managing the Agricultural Supply Chain: A Practical Case Study - IEEE Xplore, fecha de acceso: marzo 14, 2026, </w:t>
      </w:r>
      <w:hyperlink r:id="rId89">
        <w:r w:rsidDel="00000000" w:rsidR="00000000" w:rsidRPr="00000000">
          <w:rPr>
            <w:rFonts w:ascii="Google Sans" w:cs="Google Sans" w:eastAsia="Google Sans" w:hAnsi="Google Sans"/>
            <w:color w:val="0000ee"/>
            <w:sz w:val="24"/>
            <w:szCs w:val="24"/>
            <w:u w:val="single"/>
            <w:rtl w:val="0"/>
          </w:rPr>
          <w:t xml:space="preserve">https://ieeexplore.ieee.org/iel8/6287639/10380310/10623674.pdf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Contract Oracle Manipulation: The $8.8M Data Poisoning | by InstaTunnel | Medium, fecha de acceso: marzo 14, 2026, </w:t>
      </w:r>
      <w:hyperlink r:id="rId90">
        <w:r w:rsidDel="00000000" w:rsidR="00000000" w:rsidRPr="00000000">
          <w:rPr>
            <w:rFonts w:ascii="Google Sans" w:cs="Google Sans" w:eastAsia="Google Sans" w:hAnsi="Google Sans"/>
            <w:color w:val="0000ee"/>
            <w:sz w:val="24"/>
            <w:szCs w:val="24"/>
            <w:u w:val="single"/>
            <w:rtl w:val="0"/>
          </w:rPr>
          <w:t xml:space="preserve">https://medium.com/@instatunnel/smart-contract-oracle-manipulation-the-8-8m-data-poisoning-ff0712c43ab8</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Smart Contract's Oracle Integration Is Probably Wrong | by Raphthelight | Medium, fecha de acceso: marzo 14, 2026, </w:t>
      </w:r>
      <w:hyperlink r:id="rId91">
        <w:r w:rsidDel="00000000" w:rsidR="00000000" w:rsidRPr="00000000">
          <w:rPr>
            <w:rFonts w:ascii="Google Sans" w:cs="Google Sans" w:eastAsia="Google Sans" w:hAnsi="Google Sans"/>
            <w:color w:val="0000ee"/>
            <w:sz w:val="24"/>
            <w:szCs w:val="24"/>
            <w:u w:val="single"/>
            <w:rtl w:val="0"/>
          </w:rPr>
          <w:t xml:space="preserve">https://medium.com/@consultantchimez/why-your-smart-contracts-oracle-integration-is-probably-wrong-f1e813b9f9ad</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Oracle Problem? How Morpher Overcomes It, fecha de acceso: marzo 14, 2026, </w:t>
      </w:r>
      <w:hyperlink r:id="rId92">
        <w:r w:rsidDel="00000000" w:rsidR="00000000" w:rsidRPr="00000000">
          <w:rPr>
            <w:rFonts w:ascii="Google Sans" w:cs="Google Sans" w:eastAsia="Google Sans" w:hAnsi="Google Sans"/>
            <w:color w:val="0000ee"/>
            <w:sz w:val="24"/>
            <w:szCs w:val="24"/>
            <w:u w:val="single"/>
            <w:rtl w:val="0"/>
          </w:rPr>
          <w:t xml:space="preserve">https://www.morpher.com/blog/oracle-problem</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Product Passports: A Blockchain-based Perspective, fecha de acceso: marzo 14, 2026, </w:t>
      </w:r>
      <w:hyperlink r:id="rId93">
        <w:r w:rsidDel="00000000" w:rsidR="00000000" w:rsidRPr="00000000">
          <w:rPr>
            <w:rFonts w:ascii="Google Sans" w:cs="Google Sans" w:eastAsia="Google Sans" w:hAnsi="Google Sans"/>
            <w:color w:val="0000ee"/>
            <w:sz w:val="24"/>
            <w:szCs w:val="24"/>
            <w:u w:val="single"/>
            <w:rtl w:val="0"/>
          </w:rPr>
          <w:t xml:space="preserve">https://blockchain-observatory.ec.europa.eu/document/download/b6e3c85c-43c1-405b-aba8-e49a71249ef7_en?filename=EUBOF_DPP_report.pdf</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IATA Cargo-XML and ASYCUDA, fecha de acceso: marzo 14, 2026, </w:t>
      </w:r>
      <w:hyperlink r:id="rId94">
        <w:r w:rsidDel="00000000" w:rsidR="00000000" w:rsidRPr="00000000">
          <w:rPr>
            <w:rFonts w:ascii="Google Sans" w:cs="Google Sans" w:eastAsia="Google Sans" w:hAnsi="Google Sans"/>
            <w:color w:val="0000ee"/>
            <w:sz w:val="24"/>
            <w:szCs w:val="24"/>
            <w:u w:val="single"/>
            <w:rtl w:val="0"/>
          </w:rPr>
          <w:t xml:space="preserve">https://asycuda.org/wp-content/uploads/flyer-iata-cargoxml-asycuda-en.pdf</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 Report 2024 - Innovation for a Changing World - UNCTAD, fecha de acceso: marzo 14, 2026, </w:t>
      </w:r>
      <w:hyperlink r:id="rId95">
        <w:r w:rsidDel="00000000" w:rsidR="00000000" w:rsidRPr="00000000">
          <w:rPr>
            <w:rFonts w:ascii="Google Sans" w:cs="Google Sans" w:eastAsia="Google Sans" w:hAnsi="Google Sans"/>
            <w:color w:val="0000ee"/>
            <w:sz w:val="24"/>
            <w:szCs w:val="24"/>
            <w:u w:val="single"/>
            <w:rtl w:val="0"/>
          </w:rPr>
          <w:t xml:space="preserve">https://unctad.org/system/files/official-document/dtlasycuda2024d1_en.pdf</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ASYCUDAWorld RMI, fecha de acceso: marzo 14, 2026, </w:t>
      </w:r>
      <w:hyperlink r:id="rId96">
        <w:r w:rsidDel="00000000" w:rsidR="00000000" w:rsidRPr="00000000">
          <w:rPr>
            <w:rFonts w:ascii="Google Sans" w:cs="Google Sans" w:eastAsia="Google Sans" w:hAnsi="Google Sans"/>
            <w:color w:val="0000ee"/>
            <w:sz w:val="24"/>
            <w:szCs w:val="24"/>
            <w:u w:val="single"/>
            <w:rtl w:val="0"/>
          </w:rPr>
          <w:t xml:space="preserve">https://rmi.asycuda.org/</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 System Integration for Customs Processes - Carguber, fecha de acceso: marzo 14, 2026, </w:t>
      </w:r>
      <w:hyperlink r:id="rId97">
        <w:r w:rsidDel="00000000" w:rsidR="00000000" w:rsidRPr="00000000">
          <w:rPr>
            <w:rFonts w:ascii="Google Sans" w:cs="Google Sans" w:eastAsia="Google Sans" w:hAnsi="Google Sans"/>
            <w:color w:val="0000ee"/>
            <w:sz w:val="24"/>
            <w:szCs w:val="24"/>
            <w:u w:val="single"/>
            <w:rtl w:val="0"/>
          </w:rPr>
          <w:t xml:space="preserve">https://www.carguber.com/blogs/what-does-asycuda-system-integration-mean-for-customs-integration</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Programme Understanding the ASYCUDA modules - CAREC Program, fecha de acceso: marzo 14, 2026, </w:t>
      </w:r>
      <w:hyperlink r:id="rId98">
        <w:r w:rsidDel="00000000" w:rsidR="00000000" w:rsidRPr="00000000">
          <w:rPr>
            <w:rFonts w:ascii="Google Sans" w:cs="Google Sans" w:eastAsia="Google Sans" w:hAnsi="Google Sans"/>
            <w:color w:val="0000ee"/>
            <w:sz w:val="24"/>
            <w:szCs w:val="24"/>
            <w:u w:val="single"/>
            <w:rtl w:val="0"/>
          </w:rPr>
          <w:t xml:space="preserve">https://www.carecprogram.org/uploads/Session-5-Understanding-the-ASYCUDA-Module_EN.pdf</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MANIFEST XML MESSAGE DESCRIPTION, fecha de acceso: marzo 14, 2026, </w:t>
      </w:r>
      <w:hyperlink r:id="rId99">
        <w:r w:rsidDel="00000000" w:rsidR="00000000" w:rsidRPr="00000000">
          <w:rPr>
            <w:rFonts w:ascii="Google Sans" w:cs="Google Sans" w:eastAsia="Google Sans" w:hAnsi="Google Sans"/>
            <w:color w:val="0000ee"/>
            <w:sz w:val="24"/>
            <w:szCs w:val="24"/>
            <w:u w:val="single"/>
            <w:rtl w:val="0"/>
          </w:rPr>
          <w:t xml:space="preserve">https://customs.gov.vc/downloads/DRAFT-SVG-AW-XML-Manifest-Structure-Description.pdf</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Cargo Manifest XML Message Description, fecha de acceso: marzo 14, 2026, </w:t>
      </w:r>
      <w:hyperlink r:id="rId100">
        <w:r w:rsidDel="00000000" w:rsidR="00000000" w:rsidRPr="00000000">
          <w:rPr>
            <w:rFonts w:ascii="Google Sans" w:cs="Google Sans" w:eastAsia="Google Sans" w:hAnsi="Google Sans"/>
            <w:color w:val="0000ee"/>
            <w:sz w:val="24"/>
            <w:szCs w:val="24"/>
            <w:u w:val="single"/>
            <w:rtl w:val="0"/>
          </w:rPr>
          <w:t xml:space="preserve">https://customs.gov.ag/docs/manifest/XML%20manifest%20structure%20-%20ANTIGUA.pdf</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 Manifest Info &amp; XML Schemas - ASYCUDAWorld Portal, fecha de acceso: marzo 14, 2026, </w:t>
      </w:r>
      <w:hyperlink r:id="rId101">
        <w:r w:rsidDel="00000000" w:rsidR="00000000" w:rsidRPr="00000000">
          <w:rPr>
            <w:rFonts w:ascii="Google Sans" w:cs="Google Sans" w:eastAsia="Google Sans" w:hAnsi="Google Sans"/>
            <w:color w:val="0000ee"/>
            <w:sz w:val="24"/>
            <w:szCs w:val="24"/>
            <w:u w:val="single"/>
            <w:rtl w:val="0"/>
          </w:rPr>
          <w:t xml:space="preserve">https://jets.jacustoms.gov.jm/portal/content.jsf?c=XML1</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 Report 2022/23 Accelerating Climate Smart Trade Facilitation - UNCTAD, fecha de acceso: marzo 14, 2026, </w:t>
      </w:r>
      <w:hyperlink r:id="rId102">
        <w:r w:rsidDel="00000000" w:rsidR="00000000" w:rsidRPr="00000000">
          <w:rPr>
            <w:rFonts w:ascii="Google Sans" w:cs="Google Sans" w:eastAsia="Google Sans" w:hAnsi="Google Sans"/>
            <w:color w:val="0000ee"/>
            <w:sz w:val="24"/>
            <w:szCs w:val="24"/>
            <w:u w:val="single"/>
            <w:rtl w:val="0"/>
          </w:rPr>
          <w:t xml:space="preserve">https://unctad.org/system/files/official-document/dtlasycuda2023d1_en.pdf</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digital tools can improve compliance with SPS measures - WCO, fecha de acceso: marzo 14, 2026, </w:t>
      </w:r>
      <w:hyperlink r:id="rId103">
        <w:r w:rsidDel="00000000" w:rsidR="00000000" w:rsidRPr="00000000">
          <w:rPr>
            <w:rFonts w:ascii="Google Sans" w:cs="Google Sans" w:eastAsia="Google Sans" w:hAnsi="Google Sans"/>
            <w:color w:val="0000ee"/>
            <w:sz w:val="24"/>
            <w:szCs w:val="24"/>
            <w:u w:val="single"/>
            <w:rtl w:val="0"/>
          </w:rPr>
          <w:t xml:space="preserve">https://mag.wcoomd.org/magazine/wco-news-94/digital-tools-compliance-sps-measures/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ASYCUDA Report 2025 - UNCTAD, fecha de acceso: marzo 14, 2026, </w:t>
      </w:r>
      <w:hyperlink r:id="rId104">
        <w:r w:rsidDel="00000000" w:rsidR="00000000" w:rsidRPr="00000000">
          <w:rPr>
            <w:rFonts w:ascii="Google Sans" w:cs="Google Sans" w:eastAsia="Google Sans" w:hAnsi="Google Sans"/>
            <w:color w:val="0000ee"/>
            <w:sz w:val="24"/>
            <w:szCs w:val="24"/>
            <w:u w:val="single"/>
            <w:rtl w:val="0"/>
          </w:rPr>
          <w:t xml:space="preserve">https://unctad.org/system/files/official-document/dtlasycuda2025d1_en.pdf</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FACTSHEET - FEDeRATED, fecha de acceso: marzo 14, 2026, </w:t>
      </w:r>
      <w:hyperlink r:id="rId105">
        <w:r w:rsidDel="00000000" w:rsidR="00000000" w:rsidRPr="00000000">
          <w:rPr>
            <w:rFonts w:ascii="Google Sans" w:cs="Google Sans" w:eastAsia="Google Sans" w:hAnsi="Google Sans"/>
            <w:color w:val="0000ee"/>
            <w:sz w:val="24"/>
            <w:szCs w:val="24"/>
            <w:u w:val="single"/>
            <w:rtl w:val="0"/>
          </w:rPr>
          <w:t xml:space="preserve">https://www.federatedplatforms.eu/images/Library/FACTsheets/21_SIMPLE.pdf</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SIMplification of Processes for a Logistic Enhancement, fecha de acceso: marzo 14, 2026, </w:t>
      </w:r>
      <w:hyperlink r:id="rId106">
        <w:r w:rsidDel="00000000" w:rsidR="00000000" w:rsidRPr="00000000">
          <w:rPr>
            <w:rFonts w:ascii="Google Sans" w:cs="Google Sans" w:eastAsia="Google Sans" w:hAnsi="Google Sans"/>
            <w:color w:val="0000ee"/>
            <w:sz w:val="24"/>
            <w:szCs w:val="24"/>
            <w:u w:val="single"/>
            <w:rtl w:val="0"/>
          </w:rPr>
          <w:t xml:space="preserve">https://portalcip.org/wp-content/uploads/2021/06/SIMPLE-CIP-OEA-PdE-Indra-DEF-20210603.pdf</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SOAP versus REST API - OpenText Documentation Portal, fecha de acceso: marzo 14, 2026, </w:t>
      </w:r>
      <w:hyperlink r:id="rId107">
        <w:r w:rsidDel="00000000" w:rsidR="00000000" w:rsidRPr="00000000">
          <w:rPr>
            <w:rFonts w:ascii="Google Sans" w:cs="Google Sans" w:eastAsia="Google Sans" w:hAnsi="Google Sans"/>
            <w:color w:val="0000ee"/>
            <w:sz w:val="24"/>
            <w:szCs w:val="24"/>
            <w:u w:val="single"/>
            <w:rtl w:val="0"/>
          </w:rPr>
          <w:t xml:space="preserve">https://docs.microfocus.com/doc/76/25.2/admin_b1ek5o71</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 opPORTunity | Plataforma de innovación de la Autoridad Portuaria de Santa Cruz de Tenerife, fecha de acceso: marzo 14, 2026, </w:t>
      </w:r>
      <w:hyperlink r:id="rId108">
        <w:r w:rsidDel="00000000" w:rsidR="00000000" w:rsidRPr="00000000">
          <w:rPr>
            <w:rFonts w:ascii="Google Sans" w:cs="Google Sans" w:eastAsia="Google Sans" w:hAnsi="Google Sans"/>
            <w:color w:val="0000ee"/>
            <w:sz w:val="24"/>
            <w:szCs w:val="24"/>
            <w:u w:val="single"/>
            <w:rtl w:val="0"/>
          </w:rPr>
          <w:t xml:space="preserve">https://opportunity.puertosdetenerife.org/wp-content/uploads/2024/08/Presentacion-SIMPLE-A-Coruna-20210324.pdf</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FEDeRATED Final Event, fecha de acceso: marzo 14, 2026, </w:t>
      </w:r>
      <w:hyperlink r:id="rId109">
        <w:r w:rsidDel="00000000" w:rsidR="00000000" w:rsidRPr="00000000">
          <w:rPr>
            <w:rFonts w:ascii="Google Sans" w:cs="Google Sans" w:eastAsia="Google Sans" w:hAnsi="Google Sans"/>
            <w:color w:val="0000ee"/>
            <w:sz w:val="24"/>
            <w:szCs w:val="24"/>
            <w:u w:val="single"/>
            <w:rtl w:val="0"/>
          </w:rPr>
          <w:t xml:space="preserve">https://www.federatedplatforms.eu/images/Library/Activity4/FINALEVENT/The_SIMPLE_song.pdf</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TOUS, Puertos del Estado, Aldoratech, MRPlay, ADIF and Greenland Tech receive recognition from the logistics sector - CZFB - Zona Franca Barcelona, fecha de acceso: marzo 14, 2026, </w:t>
      </w:r>
      <w:hyperlink r:id="rId110">
        <w:r w:rsidDel="00000000" w:rsidR="00000000" w:rsidRPr="00000000">
          <w:rPr>
            <w:rFonts w:ascii="Google Sans" w:cs="Google Sans" w:eastAsia="Google Sans" w:hAnsi="Google Sans"/>
            <w:color w:val="0000ee"/>
            <w:sz w:val="24"/>
            <w:szCs w:val="24"/>
            <w:u w:val="single"/>
            <w:rtl w:val="0"/>
          </w:rPr>
          <w:t xml:space="preserve">https://zfbarcelona.es/en/new/news/tous-puertos-del-estado-aldoratech-mrplay-adif-and-greenland-tech-receive-recognition-from-the-logistics-sector/</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Puertos del Estado and UNE present the Standard to drive the transformation towards smart ports, fecha de acceso: marzo 14, 2026, </w:t>
      </w:r>
      <w:hyperlink r:id="rId111">
        <w:r w:rsidDel="00000000" w:rsidR="00000000" w:rsidRPr="00000000">
          <w:rPr>
            <w:rFonts w:ascii="Google Sans" w:cs="Google Sans" w:eastAsia="Google Sans" w:hAnsi="Google Sans"/>
            <w:color w:val="0000ee"/>
            <w:sz w:val="24"/>
            <w:szCs w:val="24"/>
            <w:u w:val="single"/>
            <w:rtl w:val="0"/>
          </w:rPr>
          <w:t xml:space="preserve">https://www.puertos.es/en/comunication/puertos-del-estado-and-une-present-standard-drive-transformation-towards-smart-ports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dpi.com/2073-4395/14/10/2434" TargetMode="External"/><Relationship Id="rId42" Type="http://schemas.openxmlformats.org/officeDocument/2006/relationships/hyperlink" Target="https://www.fs.usda.gov/nrs/pubs/jrnl/2024/nrs_2024_masoudi_001.pdf" TargetMode="External"/><Relationship Id="rId41" Type="http://schemas.openxmlformats.org/officeDocument/2006/relationships/hyperlink" Target="https://pmc.ncbi.nlm.nih.gov/articles/PMC12670177/" TargetMode="External"/><Relationship Id="rId44" Type="http://schemas.openxmlformats.org/officeDocument/2006/relationships/hyperlink" Target="https://www.researchgate.net/publication/348277074_Mobile_LiDAR_Scanning_System_Combined_with_Canopy_Morphology_Extracting_Methods_for_Tree_Crown_Parameters_Evaluation_in_Orchards" TargetMode="External"/><Relationship Id="rId43" Type="http://schemas.openxmlformats.org/officeDocument/2006/relationships/hyperlink" Target="https://www.researchgate.net/publication/392790307_Advancing_plant_biomass_measurements_Integrating_smartphone-based_3D_scanning_techniques_for_enhanced_ecosystem_monitoring" TargetMode="External"/><Relationship Id="rId46" Type="http://schemas.openxmlformats.org/officeDocument/2006/relationships/hyperlink" Target="https://www.mdpi.com/2071-1050/16/11/4592" TargetMode="External"/><Relationship Id="rId45" Type="http://schemas.openxmlformats.org/officeDocument/2006/relationships/hyperlink" Target="https://www.usgs.gov/publications/3d-volumetric-modeling-grapevine-biomass-using-tripod-lidar" TargetMode="External"/><Relationship Id="rId107" Type="http://schemas.openxmlformats.org/officeDocument/2006/relationships/hyperlink" Target="https://docs.microfocus.com/doc/76/25.2/admin_b1ek5o71" TargetMode="External"/><Relationship Id="rId106" Type="http://schemas.openxmlformats.org/officeDocument/2006/relationships/hyperlink" Target="https://portalcip.org/wp-content/uploads/2021/06/SIMPLE-CIP-OEA-PdE-Indra-DEF-20210603.pdf" TargetMode="External"/><Relationship Id="rId105" Type="http://schemas.openxmlformats.org/officeDocument/2006/relationships/hyperlink" Target="https://www.federatedplatforms.eu/images/Library/FACTsheets/21_SIMPLE.pdf" TargetMode="External"/><Relationship Id="rId104" Type="http://schemas.openxmlformats.org/officeDocument/2006/relationships/hyperlink" Target="https://unctad.org/system/files/official-document/dtlasycuda2025d1_en.pdf" TargetMode="External"/><Relationship Id="rId109" Type="http://schemas.openxmlformats.org/officeDocument/2006/relationships/hyperlink" Target="https://www.federatedplatforms.eu/images/Library/Activity4/FINALEVENT/The_SIMPLE_song.pdf" TargetMode="External"/><Relationship Id="rId108" Type="http://schemas.openxmlformats.org/officeDocument/2006/relationships/hyperlink" Target="https://opportunity.puertosdetenerife.org/wp-content/uploads/2024/08/Presentacion-SIMPLE-A-Coruna-20210324.pdf" TargetMode="External"/><Relationship Id="rId48" Type="http://schemas.openxmlformats.org/officeDocument/2006/relationships/hyperlink" Target="https://essd.copernicus.org/articles/12/21/2020/" TargetMode="External"/><Relationship Id="rId47" Type="http://schemas.openxmlformats.org/officeDocument/2006/relationships/hyperlink" Target="https://www.tandfonline.com/doi/full/10.1080/20964129.2019.1591169" TargetMode="External"/><Relationship Id="rId49" Type="http://schemas.openxmlformats.org/officeDocument/2006/relationships/hyperlink" Target="https://www.mdpi.com/2624-7402/7/11/383" TargetMode="External"/><Relationship Id="rId103" Type="http://schemas.openxmlformats.org/officeDocument/2006/relationships/hyperlink" Target="https://mag.wcoomd.org/magazine/wco-news-94/digital-tools-compliance-sps-measures/" TargetMode="External"/><Relationship Id="rId102" Type="http://schemas.openxmlformats.org/officeDocument/2006/relationships/hyperlink" Target="https://unctad.org/system/files/official-document/dtlasycuda2023d1_en.pdf" TargetMode="External"/><Relationship Id="rId101" Type="http://schemas.openxmlformats.org/officeDocument/2006/relationships/hyperlink" Target="https://jets.jacustoms.gov.jm/portal/content.jsf?c=XML1" TargetMode="External"/><Relationship Id="rId100" Type="http://schemas.openxmlformats.org/officeDocument/2006/relationships/hyperlink" Target="https://customs.gov.ag/docs/manifest/XML%20manifest%20structure%20-%20ANTIGUA.pdf" TargetMode="External"/><Relationship Id="rId31" Type="http://schemas.openxmlformats.org/officeDocument/2006/relationships/hyperlink" Target="https://www.semanticscholar.org/paper/Edge-AI-for-Agriculture%3A-Lightweight-Vision-Models-Joshi/398cdbba6fea0f6af92324f97851986943132fd2" TargetMode="External"/><Relationship Id="rId30" Type="http://schemas.openxmlformats.org/officeDocument/2006/relationships/hyperlink" Target="https://www.mdpi.com/2076-3417/14/18/8243" TargetMode="External"/><Relationship Id="rId33" Type="http://schemas.openxmlformats.org/officeDocument/2006/relationships/hyperlink" Target="https://www.promptingguide.ai/models/gemini-pro" TargetMode="External"/><Relationship Id="rId32" Type="http://schemas.openxmlformats.org/officeDocument/2006/relationships/hyperlink" Target="https://ai.google.dev/competition/projects/farm-precise?hl=es-419" TargetMode="External"/><Relationship Id="rId35" Type="http://schemas.openxmlformats.org/officeDocument/2006/relationships/hyperlink" Target="https://www.youtube.com/watch?v=wa0MT8OwHuk" TargetMode="External"/><Relationship Id="rId34" Type="http://schemas.openxmlformats.org/officeDocument/2006/relationships/hyperlink" Target="https://cloud.google.com/blog/products/ai-machine-learning/experimentation-to-production-with-gemini-and-vertex-ai" TargetMode="External"/><Relationship Id="rId37" Type="http://schemas.openxmlformats.org/officeDocument/2006/relationships/hyperlink" Target="https://www.researchgate.net/publication/384110538_Multi-Modal_LLMs_in_Agriculture_A_Comprehensive_Review" TargetMode="External"/><Relationship Id="rId36" Type="http://schemas.openxmlformats.org/officeDocument/2006/relationships/hyperlink" Target="https://yxw.cs.illinois.edu/files/AgMMU_NeurIPS2025Benchmark.pdf" TargetMode="External"/><Relationship Id="rId39" Type="http://schemas.openxmlformats.org/officeDocument/2006/relationships/hyperlink" Target="https://help.bizagi.com/platform/en/mcp-servers.htm" TargetMode="External"/><Relationship Id="rId38" Type="http://schemas.openxmlformats.org/officeDocument/2006/relationships/hyperlink" Target="https://cloud.google.com/discover/what-is-model-context-protocol" TargetMode="External"/><Relationship Id="rId20" Type="http://schemas.openxmlformats.org/officeDocument/2006/relationships/hyperlink" Target="https://www.researchpublish.com/upload/book/Real%20World%20Asset%20(RWA)%20Supply%20Chain%20for%20Smart%20Factory-13082025-2.pdf" TargetMode="External"/><Relationship Id="rId22" Type="http://schemas.openxmlformats.org/officeDocument/2006/relationships/hyperlink" Target="https://github.com/ac12644/Supply-Chain-Smart-Contract" TargetMode="External"/><Relationship Id="rId21" Type="http://schemas.openxmlformats.org/officeDocument/2006/relationships/hyperlink" Target="https://growthturbine.com/blogs/the-future-of-asset-ownership-why-rwa-tokenization-is-the-next-big-wave-in-defi" TargetMode="External"/><Relationship Id="rId24" Type="http://schemas.openxmlformats.org/officeDocument/2006/relationships/hyperlink" Target="https://www.aifalabs.com/es/edge-ai-computer-vision" TargetMode="External"/><Relationship Id="rId23" Type="http://schemas.openxmlformats.org/officeDocument/2006/relationships/hyperlink" Target="https://arxiv.org/abs/2412.18635" TargetMode="External"/><Relationship Id="rId26" Type="http://schemas.openxmlformats.org/officeDocument/2006/relationships/hyperlink" Target="https://spie.org/spie-sensors-imaging/presentation/3D-fruit-orchard-reconstruction-and-geometric-parameter-estimation-using-LiDAR/13666-73" TargetMode="External"/><Relationship Id="rId25" Type="http://schemas.openxmlformats.org/officeDocument/2006/relationships/hyperlink" Target="https://www.3dmag.com/3d-wikipedia/phone-3d-scanning-lidar-iphone-3d-apps-guide/" TargetMode="External"/><Relationship Id="rId28" Type="http://schemas.openxmlformats.org/officeDocument/2006/relationships/hyperlink" Target="https://ecoevorxiv.org/repository/object/8165/download/15344/" TargetMode="External"/><Relationship Id="rId27" Type="http://schemas.openxmlformats.org/officeDocument/2006/relationships/hyperlink" Target="https://www.mdpi.com/1424-8220/21/2/339" TargetMode="External"/><Relationship Id="rId29" Type="http://schemas.openxmlformats.org/officeDocument/2006/relationships/hyperlink" Target="https://www.mdpi.com/1424-8220/24/12/3858" TargetMode="External"/><Relationship Id="rId95" Type="http://schemas.openxmlformats.org/officeDocument/2006/relationships/hyperlink" Target="https://unctad.org/system/files/official-document/dtlasycuda2024d1_en.pdf" TargetMode="External"/><Relationship Id="rId94" Type="http://schemas.openxmlformats.org/officeDocument/2006/relationships/hyperlink" Target="https://asycuda.org/wp-content/uploads/flyer-iata-cargoxml-asycuda-en.pdf" TargetMode="External"/><Relationship Id="rId97" Type="http://schemas.openxmlformats.org/officeDocument/2006/relationships/hyperlink" Target="https://www.carguber.com/blogs/what-does-asycuda-system-integration-mean-for-customs-integration" TargetMode="External"/><Relationship Id="rId96" Type="http://schemas.openxmlformats.org/officeDocument/2006/relationships/hyperlink" Target="https://rmi.asycuda.org/" TargetMode="External"/><Relationship Id="rId11" Type="http://schemas.openxmlformats.org/officeDocument/2006/relationships/hyperlink" Target="https://www.puertos.es/en/strategy/digitalization/simple-project" TargetMode="External"/><Relationship Id="rId99" Type="http://schemas.openxmlformats.org/officeDocument/2006/relationships/hyperlink" Target="https://customs.gov.vc/downloads/DRAFT-SVG-AW-XML-Manifest-Structure-Description.pdf" TargetMode="External"/><Relationship Id="rId10" Type="http://schemas.openxmlformats.org/officeDocument/2006/relationships/hyperlink" Target="https://drive.google.com/open?id=1Ga-P7Rw7XAtzw6NjxE688xWzUXWL38k-" TargetMode="External"/><Relationship Id="rId98" Type="http://schemas.openxmlformats.org/officeDocument/2006/relationships/hyperlink" Target="https://www.carecprogram.org/uploads/Session-5-Understanding-the-ASYCUDA-Module_EN.pdf" TargetMode="External"/><Relationship Id="rId13" Type="http://schemas.openxmlformats.org/officeDocument/2006/relationships/hyperlink" Target="https://arxiv.org/pdf/2403.05530" TargetMode="External"/><Relationship Id="rId12" Type="http://schemas.openxmlformats.org/officeDocument/2006/relationships/hyperlink" Target="https://drive.google.com/open?id=1xb16JtpN-3h9Wl0jcgCyPisKwFsNSoGf" TargetMode="External"/><Relationship Id="rId91" Type="http://schemas.openxmlformats.org/officeDocument/2006/relationships/hyperlink" Target="https://medium.com/@consultantchimez/why-your-smart-contracts-oracle-integration-is-probably-wrong-f1e813b9f9ad" TargetMode="External"/><Relationship Id="rId90" Type="http://schemas.openxmlformats.org/officeDocument/2006/relationships/hyperlink" Target="https://medium.com/@instatunnel/smart-contract-oracle-manipulation-the-8-8m-data-poisoning-ff0712c43ab8" TargetMode="External"/><Relationship Id="rId93" Type="http://schemas.openxmlformats.org/officeDocument/2006/relationships/hyperlink" Target="https://blockchain-observatory.ec.europa.eu/document/download/b6e3c85c-43c1-405b-aba8-e49a71249ef7_en?filename=EUBOF_DPP_report.pdf" TargetMode="External"/><Relationship Id="rId92" Type="http://schemas.openxmlformats.org/officeDocument/2006/relationships/hyperlink" Target="https://www.morpher.com/blog/oracle-problem" TargetMode="External"/><Relationship Id="rId15" Type="http://schemas.openxmlformats.org/officeDocument/2006/relationships/hyperlink" Target="https://datavlab.ai/es/post/uso-de-la-vision-artificial-para-detectar-enfermedades-de-las-plantas-mejora-de-la-precision-y-la-eficiencia-agricolas" TargetMode="External"/><Relationship Id="rId110" Type="http://schemas.openxmlformats.org/officeDocument/2006/relationships/hyperlink" Target="https://zfbarcelona.es/en/new/news/tous-puertos-del-estado-aldoratech-mrplay-adif-and-greenland-tech-receive-recognition-from-the-logistics-sector/" TargetMode="External"/><Relationship Id="rId14" Type="http://schemas.openxmlformats.org/officeDocument/2006/relationships/hyperlink" Target="https://play.google.com/store/apps/details?id=com.foodvision.app&amp;hl=es_NI" TargetMode="External"/><Relationship Id="rId17" Type="http://schemas.openxmlformats.org/officeDocument/2006/relationships/hyperlink" Target="https://pmc.ncbi.nlm.nih.gov/articles/PMC7522652/" TargetMode="External"/><Relationship Id="rId16" Type="http://schemas.openxmlformats.org/officeDocument/2006/relationships/hyperlink" Target="https://www.supplychainlogisticswp.org/post/smart-contracts-and-automated-payments-in-supply-chain-transactions" TargetMode="External"/><Relationship Id="rId19" Type="http://schemas.openxmlformats.org/officeDocument/2006/relationships/hyperlink" Target="https://modelcontextprotocol.io/docs/learn/server-concepts" TargetMode="External"/><Relationship Id="rId18" Type="http://schemas.openxmlformats.org/officeDocument/2006/relationships/hyperlink" Target="https://drive.google.com/open?id=1AM9I7ogVby_Nh-kbXRjTIftKE5VLbLT5I9LVBFeeYmY" TargetMode="External"/><Relationship Id="rId111" Type="http://schemas.openxmlformats.org/officeDocument/2006/relationships/hyperlink" Target="https://www.puertos.es/en/comunication/puertos-del-estado-and-une-present-standard-drive-transformation-towards-smart-ports" TargetMode="External"/><Relationship Id="rId84" Type="http://schemas.openxmlformats.org/officeDocument/2006/relationships/hyperlink" Target="https://ilink.dev/blog/smart-contract-payments-automating-payouts-royalties-and-escrow-with-blockchain" TargetMode="External"/><Relationship Id="rId83" Type="http://schemas.openxmlformats.org/officeDocument/2006/relationships/hyperlink" Target="https://logisticsviewpoints.com/2025/03/12/how-smart-contracts-are-impacting-supply-chains/" TargetMode="External"/><Relationship Id="rId86" Type="http://schemas.openxmlformats.org/officeDocument/2006/relationships/hyperlink" Target="https://primior.com/smart-contracts-in-real-estate-why-83-of-property-deals-still-fail-without-them/" TargetMode="External"/><Relationship Id="rId85" Type="http://schemas.openxmlformats.org/officeDocument/2006/relationships/hyperlink" Target="https://www.thebulldog.law/blockchain-defense-oracles-smart-contracts-and-legal-strategy-in-california" TargetMode="External"/><Relationship Id="rId88" Type="http://schemas.openxmlformats.org/officeDocument/2006/relationships/hyperlink" Target="https://pmc.ncbi.nlm.nih.gov/articles/PMC12788356/" TargetMode="External"/><Relationship Id="rId87" Type="http://schemas.openxmlformats.org/officeDocument/2006/relationships/hyperlink" Target="https://github.com/tskoyo/Escrow-smart-contract" TargetMode="External"/><Relationship Id="rId89" Type="http://schemas.openxmlformats.org/officeDocument/2006/relationships/hyperlink" Target="https://ieeexplore.ieee.org/iel8/6287639/10380310/10623674.pdf" TargetMode="External"/><Relationship Id="rId80" Type="http://schemas.openxmlformats.org/officeDocument/2006/relationships/hyperlink" Target="http://www.sfda.gov.sa/en/news/88204" TargetMode="External"/><Relationship Id="rId82" Type="http://schemas.openxmlformats.org/officeDocument/2006/relationships/hyperlink" Target="https://www.zoniqx.com/resources/tokenizing-agriculture-unlocking-liquidity-transparency-and-sustainable-growth-in-farming" TargetMode="External"/><Relationship Id="rId81" Type="http://schemas.openxmlformats.org/officeDocument/2006/relationships/hyperlink" Target="https://www.standardsfacility.org/sites/default/files/SPS_Ecert_Backgroundpaper.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 Id="rId73" Type="http://schemas.openxmlformats.org/officeDocument/2006/relationships/hyperlink" Target="https://blog.gettransport.com/trends-in-logistic/3-ways-smart-contract-development-streamlines-supply-chain-management/" TargetMode="External"/><Relationship Id="rId72" Type="http://schemas.openxmlformats.org/officeDocument/2006/relationships/hyperlink" Target="https://docs.opensea.io/docs/metadata-standards" TargetMode="External"/><Relationship Id="rId75" Type="http://schemas.openxmlformats.org/officeDocument/2006/relationships/hyperlink" Target="https://tracextech.com/digital-product-passport-implementation-guide/" TargetMode="External"/><Relationship Id="rId74" Type="http://schemas.openxmlformats.org/officeDocument/2006/relationships/hyperlink" Target="https://www.dock.io/post/blockchain-food-traceability" TargetMode="External"/><Relationship Id="rId77" Type="http://schemas.openxmlformats.org/officeDocument/2006/relationships/hyperlink" Target="https://www.research-collection.ethz.ch/bitstreams/4aa420ed-8624-4e55-8df9-1d1472761985/download" TargetMode="External"/><Relationship Id="rId76" Type="http://schemas.openxmlformats.org/officeDocument/2006/relationships/hyperlink" Target="https://data.europa.eu/en/news-events/news/eus-digital-product-passport-advancing-transparency-and-sustainability" TargetMode="External"/><Relationship Id="rId79" Type="http://schemas.openxmlformats.org/officeDocument/2006/relationships/hyperlink" Target="https://tracextech.com/supply-chain-traceability-for-digital-product-passport/" TargetMode="External"/><Relationship Id="rId78" Type="http://schemas.openxmlformats.org/officeDocument/2006/relationships/hyperlink" Target="https://untp.unece.org/docs/specification/DigitalProductPassport" TargetMode="External"/><Relationship Id="rId71" Type="http://schemas.openxmlformats.org/officeDocument/2006/relationships/hyperlink" Target="https://gaia-x.eu/summit-2023/wp-content/uploads/2023/11/2.6.SIMPLE-Logistics.-A-digital-solution-for-data-sharing-across-Europe.pdf" TargetMode="External"/><Relationship Id="rId70" Type="http://schemas.openxmlformats.org/officeDocument/2006/relationships/hyperlink" Target="https://ethereum.stackexchange.com/questions/35261/can-erc721-protocol-be-used-for-supply-chain-traceability-and-integrity" TargetMode="External"/><Relationship Id="rId62" Type="http://schemas.openxmlformats.org/officeDocument/2006/relationships/hyperlink" Target="https://www.mdpi.com/1424-8220/23/8/3810" TargetMode="External"/><Relationship Id="rId61" Type="http://schemas.openxmlformats.org/officeDocument/2006/relationships/hyperlink" Target="https://www.portalfruticola.com/noticias/2024/09/12/ia-para-mejorar-deteccion-de-enfermedades-en-cultivo-de-frutillas/" TargetMode="External"/><Relationship Id="rId64" Type="http://schemas.openxmlformats.org/officeDocument/2006/relationships/hyperlink" Target="https://www.bccresearch.com/pressroom/ift/ai-revolutionizes-food-safety-and-quality-control-market" TargetMode="External"/><Relationship Id="rId63" Type="http://schemas.openxmlformats.org/officeDocument/2006/relationships/hyperlink" Target="https://farmonaut.com/precision-farming/edge-ai-in-agriculture-2025-trends-eco-advancements" TargetMode="External"/><Relationship Id="rId66" Type="http://schemas.openxmlformats.org/officeDocument/2006/relationships/hyperlink" Target="https://grupotafatrans.com/2026030942846896.shtml" TargetMode="External"/><Relationship Id="rId65" Type="http://schemas.openxmlformats.org/officeDocument/2006/relationships/hyperlink" Target="https://medium.com/@seaflux/how-real-world-asset-tokenization-fixes-supply-chains-269e7427f5d5" TargetMode="External"/><Relationship Id="rId68" Type="http://schemas.openxmlformats.org/officeDocument/2006/relationships/hyperlink" Target="https://www.mdpi.com/2076-3417/15/9/5168" TargetMode="External"/><Relationship Id="rId67" Type="http://schemas.openxmlformats.org/officeDocument/2006/relationships/hyperlink" Target="https://cirpassproject.eu/wp-content/uploads/2023/06/CIRPASS-D3.1-Annex-V2_June-1st.pdf" TargetMode="External"/><Relationship Id="rId60" Type="http://schemas.openxmlformats.org/officeDocument/2006/relationships/hyperlink" Target="https://www.mdpi.com/1424-8220/22/12/4479" TargetMode="External"/><Relationship Id="rId69" Type="http://schemas.openxmlformats.org/officeDocument/2006/relationships/hyperlink" Target="https://www.mdpi.com/2076-3417/14/23/11078" TargetMode="External"/><Relationship Id="rId51" Type="http://schemas.openxmlformats.org/officeDocument/2006/relationships/hyperlink" Target="https://maureenbarahona.medium.com/tu-comida-en-c%C3%B3digo-construyendo-un-agente-nutricional-con-visi%C3%B3n-artificial-y-gemini-557bcbbac916" TargetMode="External"/><Relationship Id="rId50" Type="http://schemas.openxmlformats.org/officeDocument/2006/relationships/hyperlink" Target="https://laccei.org/LEIRD2024-VirtualEdition/full-papers/Contribution_645_a.pdf" TargetMode="External"/><Relationship Id="rId53" Type="http://schemas.openxmlformats.org/officeDocument/2006/relationships/hyperlink" Target="https://ai.google.dev/competition/projects/nutrabling-ai-powered-nutrition-expert?hl=es-419" TargetMode="External"/><Relationship Id="rId52" Type="http://schemas.openxmlformats.org/officeDocument/2006/relationships/hyperlink" Target="https://ai.google.dev/competition/projects/food-nutrient-info?hl=es-419" TargetMode="External"/><Relationship Id="rId55" Type="http://schemas.openxmlformats.org/officeDocument/2006/relationships/hyperlink" Target="https://www.rwa.io/post/the-future-of-agricultural-assets-through-tokenization" TargetMode="External"/><Relationship Id="rId54" Type="http://schemas.openxmlformats.org/officeDocument/2006/relationships/hyperlink" Target="https://uncefact.github.io/spec-untp/docs/specification/DigitalProductPassport/" TargetMode="External"/><Relationship Id="rId57" Type="http://schemas.openxmlformats.org/officeDocument/2006/relationships/hyperlink" Target="https://pmc.ncbi.nlm.nih.gov/articles/PMC12968061/" TargetMode="External"/><Relationship Id="rId56" Type="http://schemas.openxmlformats.org/officeDocument/2006/relationships/hyperlink" Target="https://www.frontiersin.org/journals/nutrition/articles/10.3389/fnut.2025.1553942/full" TargetMode="External"/><Relationship Id="rId59" Type="http://schemas.openxmlformats.org/officeDocument/2006/relationships/hyperlink" Target="https://pmc.ncbi.nlm.nih.gov/articles/PMC11462246/" TargetMode="External"/><Relationship Id="rId58" Type="http://schemas.openxmlformats.org/officeDocument/2006/relationships/hyperlink" Target="https://www.frontiersin.org/journals/plant-science/articles/10.3389/fpls.2024.1366395/fu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