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ERD for the internal side of Gabe’s Gateway e-commerce database. The 3 features we chose to work on are inventory, employee login, and employee timesheets.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database will be tracking employee, timesheet, login, and product.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employee: each employee has a name, start date, email, address, phone number, and a unique employee ID.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timesheet: each timesheet has a date, time in, time out, total hours that is derived from time in and time out, and a unique timesheetID.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login: each login has a username, password, and a unique login 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product: each product has a name, description, price, brand, and a unique product ID.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manages the product.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has a timesheet.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has a login.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Cardinality: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manages one or many products. Product is managed by one or many employees.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has one and only one timesheet. A singular timesheet is used by one and only one employee.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has one and only one login. A singular login is used by one and only one employee.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Employee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EmpId: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EmpName: VARCHAR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 Date: VARCHAR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Email: VARCHAR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Address: VARCHAR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Phone: VARCHAR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Timesheet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TimesheetID: 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Date: VARCHAR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 in: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 out: 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hours: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LoginID: 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Username: VARCHAR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Password: VARCHAR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ProductID: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Name: VARCHAR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Description: VARCHAR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Price: NUMERIC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Brand: VARCHAR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