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W&amp;A Balance | Listado de requerimientos</w:t>
      </w:r>
    </w:p>
    <w:p>
      <w:pPr>
        <w:pStyle w:val="Subtitle"/>
      </w:pPr>
      <w:r>
        <w:t>Versión organizada a partir del cuestionario respondido · Funcionales, no funcionales y reglas de negocio</w:t>
      </w:r>
    </w:p>
    <w:p>
      <w:r>
        <w:t>Trazabilidad: cada requisito incluye los números de preguntas originales que sustentan su redacción. Los requisitos de seguridad relativos a credenciales fiscales se registran como pendientes de diseño y no como mecanismos ya implementados.</w:t>
      </w:r>
    </w:p>
    <w:p>
      <w:pPr>
        <w:pStyle w:val="Heading1"/>
      </w:pPr>
      <w:r>
        <w:t>1. Requerimientos funcionales (RF)</w:t>
      </w:r>
    </w:p>
    <w:p>
      <w:pPr>
        <w:pStyle w:val="Heading2"/>
      </w:pPr>
      <w:r>
        <w:t>Usuarios y autenticación</w:t>
      </w:r>
    </w:p>
    <w:p>
      <w:r>
        <w:rPr>
          <w:b/>
        </w:rPr>
        <w:t xml:space="preserve">RF-001 · </w:t>
      </w:r>
      <w:r>
        <w:t>Registro de clientes con nombre, teléfono, correo y contraseña</w:t>
      </w:r>
      <w:r>
        <w:rPr>
          <w:i/>
        </w:rPr>
        <w:t xml:space="preserve">  [Preguntas 9–12]</w:t>
      </w:r>
    </w:p>
    <w:p>
      <w:r>
        <w:rPr>
          <w:b/>
        </w:rPr>
        <w:t xml:space="preserve">RF-002 · </w:t>
      </w:r>
      <w:r>
        <w:t>Acceso por correo y verificación al crear la cuenta</w:t>
      </w:r>
      <w:r>
        <w:rPr>
          <w:i/>
        </w:rPr>
        <w:t xml:space="preserve">  [Preguntas 11]</w:t>
      </w:r>
    </w:p>
    <w:p>
      <w:r>
        <w:rPr>
          <w:b/>
        </w:rPr>
        <w:t xml:space="preserve">RF-003 · </w:t>
      </w:r>
      <w:r>
        <w:t>Recuperación de contraseña mediante correo electrónico</w:t>
      </w:r>
      <w:r>
        <w:rPr>
          <w:i/>
        </w:rPr>
        <w:t xml:space="preserve">  [Preguntas 12]</w:t>
      </w:r>
    </w:p>
    <w:p>
      <w:r>
        <w:rPr>
          <w:b/>
        </w:rPr>
        <w:t xml:space="preserve">RF-004 · </w:t>
      </w:r>
      <w:r>
        <w:t>Administradores con cuentas individuales y privilegios equivalentes</w:t>
      </w:r>
      <w:r>
        <w:rPr>
          <w:i/>
        </w:rPr>
        <w:t xml:space="preserve">  [Preguntas 13–14]</w:t>
      </w:r>
    </w:p>
    <w:p>
      <w:r>
        <w:rPr>
          <w:b/>
        </w:rPr>
        <w:t xml:space="preserve">RF-005 · </w:t>
      </w:r>
      <w:r>
        <w:t>Edición por el cliente de nombre y teléfono</w:t>
      </w:r>
      <w:r>
        <w:rPr>
          <w:i/>
        </w:rPr>
        <w:t xml:space="preserve">  [Preguntas 15]</w:t>
      </w:r>
    </w:p>
    <w:p>
      <w:r>
        <w:rPr>
          <w:b/>
        </w:rPr>
        <w:t xml:space="preserve">RF-006 · </w:t>
      </w:r>
      <w:r>
        <w:t>Consulta administrativa de clientes y sus servicios sin editar ni eliminar sus cuentas</w:t>
      </w:r>
      <w:r>
        <w:rPr>
          <w:i/>
        </w:rPr>
        <w:t xml:space="preserve">  [Preguntas 16]</w:t>
      </w:r>
    </w:p>
    <w:p>
      <w:r>
        <w:rPr>
          <w:b/>
        </w:rPr>
        <w:t xml:space="preserve">RF-007 · </w:t>
      </w:r>
      <w:r>
        <w:t>Gestión del acceso según rol administrador/cliente</w:t>
      </w:r>
      <w:r>
        <w:rPr>
          <w:i/>
        </w:rPr>
        <w:t xml:space="preserve">  [Preguntas 18–23]</w:t>
      </w:r>
    </w:p>
    <w:p>
      <w:pPr>
        <w:pStyle w:val="Heading2"/>
      </w:pPr>
      <w:r>
        <w:t>Sitio público y catálogo</w:t>
      </w:r>
    </w:p>
    <w:p>
      <w:r>
        <w:rPr>
          <w:b/>
        </w:rPr>
        <w:t xml:space="preserve">RF-008 · </w:t>
      </w:r>
      <w:r>
        <w:t>Página pública con Inicio, Quiénes somos, Misión y visión, servicios y precios, consejos fiscales y contacto por WhatsApp</w:t>
      </w:r>
      <w:r>
        <w:rPr>
          <w:i/>
        </w:rPr>
        <w:t xml:space="preserve">  [Preguntas 1, 114]</w:t>
      </w:r>
    </w:p>
    <w:p>
      <w:r>
        <w:rPr>
          <w:b/>
        </w:rPr>
        <w:t xml:space="preserve">RF-009 · </w:t>
      </w:r>
      <w:r>
        <w:t>Catálogo visible sin inicio de sesión y disponible para contratación tras autenticación</w:t>
      </w:r>
      <w:r>
        <w:rPr>
          <w:i/>
        </w:rPr>
        <w:t xml:space="preserve">  [Preguntas 27–35, 114]</w:t>
      </w:r>
    </w:p>
    <w:p>
      <w:r>
        <w:rPr>
          <w:b/>
        </w:rPr>
        <w:t xml:space="preserve">RF-010 · </w:t>
      </w:r>
      <w:r>
        <w:t>Gestión de servicios y precios desde el panel de ambos administradores</w:t>
      </w:r>
      <w:r>
        <w:rPr>
          <w:i/>
        </w:rPr>
        <w:t xml:space="preserve">  [Preguntas 33, 120]</w:t>
      </w:r>
    </w:p>
    <w:p>
      <w:r>
        <w:rPr>
          <w:b/>
        </w:rPr>
        <w:t xml:space="preserve">RF-011 · </w:t>
      </w:r>
      <w:r>
        <w:t>Calculadora fiscal ofrecida solo para docentes de secundaria</w:t>
      </w:r>
      <w:r>
        <w:rPr>
          <w:i/>
        </w:rPr>
        <w:t xml:space="preserve">  [Preguntas 3–4]</w:t>
      </w:r>
    </w:p>
    <w:p>
      <w:pPr>
        <w:pStyle w:val="Heading2"/>
      </w:pPr>
      <w:r>
        <w:t>Contratación y pagos</w:t>
      </w:r>
    </w:p>
    <w:p>
      <w:r>
        <w:rPr>
          <w:b/>
        </w:rPr>
        <w:t xml:space="preserve">RF-012 · </w:t>
      </w:r>
      <w:r>
        <w:t>Compra de un servicio por solicitud con folio identificador</w:t>
      </w:r>
      <w:r>
        <w:rPr>
          <w:i/>
        </w:rPr>
        <w:t xml:space="preserve">  [Preguntas 27–45]</w:t>
      </w:r>
    </w:p>
    <w:p>
      <w:r>
        <w:rPr>
          <w:b/>
        </w:rPr>
        <w:t xml:space="preserve">RF-013 · </w:t>
      </w:r>
      <w:r>
        <w:t>Carga de comprobante de pago PDF o PNG, máximo 20 MB</w:t>
      </w:r>
      <w:r>
        <w:rPr>
          <w:i/>
        </w:rPr>
        <w:t xml:space="preserve">  [Preguntas 9, 36–43]</w:t>
      </w:r>
    </w:p>
    <w:p>
      <w:r>
        <w:rPr>
          <w:b/>
        </w:rPr>
        <w:t xml:space="preserve">RF-014 · </w:t>
      </w:r>
      <w:r>
        <w:t>Estados de compra y revisión de comprobantes, con confirmación o rechazo por administrador</w:t>
      </w:r>
      <w:r>
        <w:rPr>
          <w:i/>
        </w:rPr>
        <w:t xml:space="preserve">  [Preguntas 40–45]</w:t>
      </w:r>
    </w:p>
    <w:p>
      <w:r>
        <w:rPr>
          <w:b/>
        </w:rPr>
        <w:t xml:space="preserve">RF-015 · </w:t>
      </w:r>
      <w:r>
        <w:t>Servicio bloqueado hasta confirmación del pago por un administrador</w:t>
      </w:r>
      <w:r>
        <w:rPr>
          <w:i/>
        </w:rPr>
        <w:t xml:space="preserve">  [Preguntas 40–46]</w:t>
      </w:r>
    </w:p>
    <w:p>
      <w:r>
        <w:rPr>
          <w:b/>
        </w:rPr>
        <w:t xml:space="preserve">RF-016 · </w:t>
      </w:r>
      <w:r>
        <w:t>Reenvío de comprobantes rechazados y prevención de compras o comprobantes duplicados</w:t>
      </w:r>
      <w:r>
        <w:rPr>
          <w:i/>
        </w:rPr>
        <w:t xml:space="preserve">  [Preguntas 42–43]</w:t>
      </w:r>
    </w:p>
    <w:p>
      <w:r>
        <w:rPr>
          <w:b/>
        </w:rPr>
        <w:t xml:space="preserve">RF-017 · </w:t>
      </w:r>
      <w:r>
        <w:t>Gestión externa de devoluciones y comunicación relacionada con otros servicios por WhatsApp</w:t>
      </w:r>
      <w:r>
        <w:rPr>
          <w:i/>
        </w:rPr>
        <w:t xml:space="preserve">  [Preguntas 34–35, 45]</w:t>
      </w:r>
    </w:p>
    <w:p>
      <w:pPr>
        <w:pStyle w:val="Heading2"/>
      </w:pPr>
      <w:r>
        <w:t>Calculadora y captura fiscal</w:t>
      </w:r>
    </w:p>
    <w:p>
      <w:r>
        <w:rPr>
          <w:b/>
        </w:rPr>
        <w:t xml:space="preserve">RF-018 · </w:t>
      </w:r>
      <w:r>
        <w:t>Habilitación de la calculadora por 12 horas exactas desde la confirmación del pago</w:t>
      </w:r>
      <w:r>
        <w:rPr>
          <w:i/>
        </w:rPr>
        <w:t xml:space="preserve">  [Preguntas 46–55]</w:t>
      </w:r>
    </w:p>
    <w:p>
      <w:r>
        <w:rPr>
          <w:b/>
        </w:rPr>
        <w:t xml:space="preserve">RF-019 · </w:t>
      </w:r>
      <w:r>
        <w:t>Un único cálculo preliminar por compra, sin recálculo posterior</w:t>
      </w:r>
      <w:r>
        <w:rPr>
          <w:i/>
        </w:rPr>
        <w:t xml:space="preserve">  [Preguntas 48–49, 52]</w:t>
      </w:r>
    </w:p>
    <w:p>
      <w:r>
        <w:rPr>
          <w:b/>
        </w:rPr>
        <w:t xml:space="preserve">RF-020 · </w:t>
      </w:r>
      <w:r>
        <w:t>Bloqueo del servidor al vencer el plazo, incluso con sesión abierta</w:t>
      </w:r>
      <w:r>
        <w:rPr>
          <w:i/>
        </w:rPr>
        <w:t xml:space="preserve">  [Preguntas 51–52]</w:t>
      </w:r>
    </w:p>
    <w:p>
      <w:r>
        <w:rPr>
          <w:b/>
        </w:rPr>
        <w:t xml:space="preserve">RF-021 · </w:t>
      </w:r>
      <w:r>
        <w:t>Registro guiado y manual de ingresos, patrones, retenciones y deducciones para docentes</w:t>
      </w:r>
      <w:r>
        <w:rPr>
          <w:i/>
        </w:rPr>
        <w:t xml:space="preserve">  [Preguntas 56–75]</w:t>
      </w:r>
    </w:p>
    <w:p>
      <w:r>
        <w:rPr>
          <w:b/>
        </w:rPr>
        <w:t xml:space="preserve">RF-022 · </w:t>
      </w:r>
      <w:r>
        <w:t>Validaciones de campos obligatorios, importes, periodos y límites configurados</w:t>
      </w:r>
      <w:r>
        <w:rPr>
          <w:i/>
        </w:rPr>
        <w:t xml:space="preserve">  [Preguntas 64–71]</w:t>
      </w:r>
    </w:p>
    <w:p>
      <w:r>
        <w:rPr>
          <w:b/>
        </w:rPr>
        <w:t xml:space="preserve">RF-023 · </w:t>
      </w:r>
      <w:r>
        <w:t>Estimación orientativa mediante fórmulas programadas; sin integración con SAT y sin revisión del contador de los cálculos automáticos</w:t>
      </w:r>
      <w:r>
        <w:rPr>
          <w:i/>
        </w:rPr>
        <w:t xml:space="preserve">  [Preguntas 76–83]</w:t>
      </w:r>
    </w:p>
    <w:p>
      <w:r>
        <w:rPr>
          <w:b/>
        </w:rPr>
        <w:t xml:space="preserve">RF-024 · </w:t>
      </w:r>
      <w:r>
        <w:t>Presentación de posible saldo a favor, impuesto por pagar o resultado igual a cero, cuando corresponda</w:t>
      </w:r>
      <w:r>
        <w:rPr>
          <w:i/>
        </w:rPr>
        <w:t xml:space="preserve">  [Preguntas 81]</w:t>
      </w:r>
    </w:p>
    <w:p>
      <w:r>
        <w:rPr>
          <w:b/>
        </w:rPr>
        <w:t xml:space="preserve">RF-025 · </w:t>
      </w:r>
      <w:r>
        <w:t>Aviso visible de estimación preliminar y limitaciones, sin porcentaje de error no demostrado</w:t>
      </w:r>
      <w:r>
        <w:rPr>
          <w:i/>
        </w:rPr>
        <w:t xml:space="preserve">  [Preguntas 76, 83]</w:t>
      </w:r>
    </w:p>
    <w:p>
      <w:r>
        <w:rPr>
          <w:b/>
        </w:rPr>
        <w:t xml:space="preserve">RF-026 · </w:t>
      </w:r>
      <w:r>
        <w:t>Generación de PDF de la única estimación y consulta histórica tras el vencimiento</w:t>
      </w:r>
      <w:r>
        <w:rPr>
          <w:i/>
        </w:rPr>
        <w:t xml:space="preserve">  [Preguntas 83–84]</w:t>
      </w:r>
    </w:p>
    <w:p>
      <w:r>
        <w:rPr>
          <w:b/>
        </w:rPr>
        <w:t xml:space="preserve">RF-027 · </w:t>
      </w:r>
      <w:r>
        <w:t>Nueva compra independiente para realizar otra estimación</w:t>
      </w:r>
      <w:r>
        <w:rPr>
          <w:i/>
        </w:rPr>
        <w:t xml:space="preserve">  [Preguntas 53]</w:t>
      </w:r>
    </w:p>
    <w:p>
      <w:pPr>
        <w:pStyle w:val="Heading2"/>
      </w:pPr>
      <w:r>
        <w:t>Intervención profesional</w:t>
      </w:r>
    </w:p>
    <w:p>
      <w:r>
        <w:rPr>
          <w:b/>
        </w:rPr>
        <w:t xml:space="preserve">RF-028 · </w:t>
      </w:r>
      <w:r>
        <w:t>Oferta opcional de intervención profesional tras la estimación dentro de las 12 horas, incluida en la misma compra</w:t>
      </w:r>
      <w:r>
        <w:rPr>
          <w:i/>
        </w:rPr>
        <w:t xml:space="preserve">  [Preguntas 86–90]</w:t>
      </w:r>
    </w:p>
    <w:p>
      <w:r>
        <w:rPr>
          <w:b/>
        </w:rPr>
        <w:t xml:space="preserve">RF-029 · </w:t>
      </w:r>
      <w:r>
        <w:t>Solicitud con RFC y alternativa de credenciales para el trámite externo, sujeta a mecanismo seguro aún pendiente</w:t>
      </w:r>
      <w:r>
        <w:rPr>
          <w:i/>
        </w:rPr>
        <w:t xml:space="preserve">  [Preguntas 88]</w:t>
      </w:r>
    </w:p>
    <w:p>
      <w:r>
        <w:rPr>
          <w:b/>
        </w:rPr>
        <w:t xml:space="preserve">RF-030 · </w:t>
      </w:r>
      <w:r>
        <w:t>Alternativas declaradas: e.firma (.cer, .key, contraseña) o RFC y contraseña del SAT; no implementarlas sin diseño seguro</w:t>
      </w:r>
      <w:r>
        <w:rPr>
          <w:i/>
        </w:rPr>
        <w:t xml:space="preserve">  [Preguntas 88]</w:t>
      </w:r>
    </w:p>
    <w:p>
      <w:r>
        <w:rPr>
          <w:b/>
        </w:rPr>
        <w:t xml:space="preserve">RF-031 · </w:t>
      </w:r>
      <w:r>
        <w:t>Máximo una solicitud profesional por compra, con posibilidad de cancelación solo mientras esté pendiente</w:t>
      </w:r>
      <w:r>
        <w:rPr>
          <w:i/>
        </w:rPr>
        <w:t xml:space="preserve">  [Preguntas 89–95]</w:t>
      </w:r>
    </w:p>
    <w:p>
      <w:r>
        <w:rPr>
          <w:b/>
        </w:rPr>
        <w:t xml:space="preserve">RF-032 · </w:t>
      </w:r>
      <w:r>
        <w:t>Estados independientes de validación y justificaciones de rechazo o información adicional</w:t>
      </w:r>
      <w:r>
        <w:rPr>
          <w:i/>
        </w:rPr>
        <w:t xml:space="preserve">  [Preguntas 91–95]</w:t>
      </w:r>
    </w:p>
    <w:p>
      <w:r>
        <w:rPr>
          <w:b/>
        </w:rPr>
        <w:t xml:space="preserve">RF-033 · </w:t>
      </w:r>
      <w:r>
        <w:t>Gestión externa de la declaración por el contador y carga posterior de PDF</w:t>
      </w:r>
      <w:r>
        <w:rPr>
          <w:i/>
        </w:rPr>
        <w:t xml:space="preserve">  [Preguntas 92–94]</w:t>
      </w:r>
    </w:p>
    <w:p>
      <w:r>
        <w:rPr>
          <w:b/>
        </w:rPr>
        <w:t xml:space="preserve">RF-034 · </w:t>
      </w:r>
      <w:r>
        <w:t>Plazo de atención de 48 horas con pausa por solicitud de información adicional</w:t>
      </w:r>
      <w:r>
        <w:rPr>
          <w:i/>
        </w:rPr>
        <w:t xml:space="preserve">  [Preguntas 94]</w:t>
      </w:r>
    </w:p>
    <w:p>
      <w:r>
        <w:rPr>
          <w:b/>
        </w:rPr>
        <w:t xml:space="preserve">RF-035 · </w:t>
      </w:r>
      <w:r>
        <w:t>Disponibilidad del PDF profesional durante 14 horas desde su publicación</w:t>
      </w:r>
      <w:r>
        <w:rPr>
          <w:i/>
        </w:rPr>
        <w:t xml:space="preserve">  [Preguntas 94]</w:t>
      </w:r>
    </w:p>
    <w:p>
      <w:pPr>
        <w:pStyle w:val="Heading2"/>
      </w:pPr>
      <w:r>
        <w:t>Paneles y reportes</w:t>
      </w:r>
    </w:p>
    <w:p>
      <w:r>
        <w:rPr>
          <w:b/>
        </w:rPr>
        <w:t xml:space="preserve">RF-036 · </w:t>
      </w:r>
      <w:r>
        <w:t>Panel de cliente con compras, estatus, vigencia, estimación en PDF y seguimiento de intervención profesional</w:t>
      </w:r>
      <w:r>
        <w:rPr>
          <w:i/>
        </w:rPr>
        <w:t xml:space="preserve">  [Preguntas 96–97]</w:t>
      </w:r>
    </w:p>
    <w:p>
      <w:r>
        <w:rPr>
          <w:b/>
        </w:rPr>
        <w:t xml:space="preserve">RF-037 · </w:t>
      </w:r>
      <w:r>
        <w:t>Panel administrativo con prioridad de pagos por revisar y solicitudes profesionales</w:t>
      </w:r>
      <w:r>
        <w:rPr>
          <w:i/>
        </w:rPr>
        <w:t xml:space="preserve">  [Preguntas 98–103]</w:t>
      </w:r>
    </w:p>
    <w:p>
      <w:r>
        <w:rPr>
          <w:b/>
        </w:rPr>
        <w:t xml:space="preserve">RF-038 · </w:t>
      </w:r>
      <w:r>
        <w:t>Filtrado y orden de solicitudes por servicio, folio, cliente y estado</w:t>
      </w:r>
      <w:r>
        <w:rPr>
          <w:i/>
        </w:rPr>
        <w:t xml:space="preserve">  [Preguntas 99]</w:t>
      </w:r>
    </w:p>
    <w:p>
      <w:r>
        <w:rPr>
          <w:b/>
        </w:rPr>
        <w:t xml:space="preserve">RF-039 · </w:t>
      </w:r>
      <w:r>
        <w:t>Notificaciones internas de compra, confirmación, vencimiento y validación; correo solo en eventos importantes</w:t>
      </w:r>
      <w:r>
        <w:rPr>
          <w:i/>
        </w:rPr>
        <w:t xml:space="preserve">  [Preguntas 104]</w:t>
      </w:r>
    </w:p>
    <w:p>
      <w:r>
        <w:rPr>
          <w:b/>
        </w:rPr>
        <w:t xml:space="preserve">RF-040 · </w:t>
      </w:r>
      <w:r>
        <w:t>Reporte de clientes registrados: total y altas mensuales con gráfica de barras</w:t>
      </w:r>
      <w:r>
        <w:rPr>
          <w:i/>
        </w:rPr>
        <w:t xml:space="preserve">  [Preguntas 105, 110–112]</w:t>
      </w:r>
    </w:p>
    <w:p>
      <w:r>
        <w:rPr>
          <w:b/>
        </w:rPr>
        <w:t xml:space="preserve">RF-041 · </w:t>
      </w:r>
      <w:r>
        <w:t>Reporte de servicios más contratados: total de compras confirmadas y gráfica de barras; filtro por servicio</w:t>
      </w:r>
      <w:r>
        <w:rPr>
          <w:i/>
        </w:rPr>
        <w:t xml:space="preserve">  [Preguntas 105–112]</w:t>
      </w:r>
    </w:p>
    <w:p>
      <w:r>
        <w:rPr>
          <w:b/>
        </w:rPr>
        <w:t xml:space="preserve">RF-042 · </w:t>
      </w:r>
      <w:r>
        <w:t>Historial de PDF preliminar separado del PDF de declaración profesional</w:t>
      </w:r>
      <w:r>
        <w:rPr>
          <w:i/>
        </w:rPr>
        <w:t xml:space="preserve">  [Preguntas 109]</w:t>
      </w:r>
    </w:p>
    <w:p>
      <w:pPr>
        <w:pStyle w:val="Heading1"/>
      </w:pPr>
      <w:r>
        <w:t>2. Requerimientos no funcionales (RNF)</w:t>
      </w:r>
    </w:p>
    <w:p>
      <w:r>
        <w:rPr>
          <w:b/>
        </w:rPr>
        <w:t xml:space="preserve">RNF-001 · Seguridad y privacidad. </w:t>
      </w:r>
      <w:r>
        <w:t>Autenticación, autorizaciones, validaciones de servidor y protección de archivos mediante Laravel; impedir acceso a datos de otros clientes.</w:t>
      </w:r>
      <w:r>
        <w:rPr>
          <w:i/>
        </w:rPr>
        <w:t xml:space="preserve">  [Preguntas 18–26, 124]</w:t>
      </w:r>
    </w:p>
    <w:p>
      <w:r>
        <w:rPr>
          <w:b/>
        </w:rPr>
        <w:t xml:space="preserve">RNF-002 · Credenciales fiscales sensibles. </w:t>
      </w:r>
      <w:r>
        <w:t>Diseñar antes de implementar transferencia cifrada, controles de acceso, consentimiento, retención y eliminación segura de .key/contraseñas fiscales. Pendiente de definición.</w:t>
      </w:r>
      <w:r>
        <w:rPr>
          <w:i/>
        </w:rPr>
        <w:t xml:space="preserve">  [Preguntas 24–25, 88]</w:t>
      </w:r>
    </w:p>
    <w:p>
      <w:r>
        <w:rPr>
          <w:b/>
        </w:rPr>
        <w:t xml:space="preserve">RNF-003 · Compatibilidad y accesibilidad. </w:t>
      </w:r>
      <w:r>
        <w:t>Diseño adaptable a laptop/computadora y celular; prioridad Chrome/Edge; etiquetas, legibilidad y navegación básica con teclado.</w:t>
      </w:r>
      <w:r>
        <w:rPr>
          <w:i/>
        </w:rPr>
        <w:t xml:space="preserve">  [Preguntas 113–116]</w:t>
      </w:r>
    </w:p>
    <w:p>
      <w:r>
        <w:rPr>
          <w:b/>
        </w:rPr>
        <w:t xml:space="preserve">RNF-004 · Desempeño. </w:t>
      </w:r>
      <w:r>
        <w:t>Objetivo inicial: hasta 50 clientes registrados, 10 usuarios concurrentes y respuestas normales de hasta 3 segundos, sujeto a pruebas.</w:t>
      </w:r>
      <w:r>
        <w:rPr>
          <w:i/>
        </w:rPr>
        <w:t xml:space="preserve">  [Preguntas 118]</w:t>
      </w:r>
    </w:p>
    <w:p>
      <w:r>
        <w:rPr>
          <w:b/>
        </w:rPr>
        <w:t xml:space="preserve">RNF-005 · Respaldo y recuperación. </w:t>
      </w:r>
      <w:r>
        <w:t>Durante la residencia la desarrolladora realiza respaldos; frecuencia y responsable posterior pendientes; restaurar el último respaldo de base de datos y archivos necesarios.</w:t>
      </w:r>
      <w:r>
        <w:rPr>
          <w:i/>
        </w:rPr>
        <w:t xml:space="preserve">  [Preguntas 119]</w:t>
      </w:r>
    </w:p>
    <w:p>
      <w:r>
        <w:rPr>
          <w:b/>
        </w:rPr>
        <w:t xml:space="preserve">RNF-006 · Mantenimiento. </w:t>
      </w:r>
      <w:r>
        <w:t>La desarrolladora dará mantenimiento técnico; el contador aprobará cambios de reglas fiscales y la desarrolladora los implementará; ambos administradores editan el catálogo.</w:t>
      </w:r>
      <w:r>
        <w:rPr>
          <w:i/>
        </w:rPr>
        <w:t xml:space="preserve">  [Preguntas 120]</w:t>
      </w:r>
    </w:p>
    <w:p>
      <w:r>
        <w:rPr>
          <w:b/>
        </w:rPr>
        <w:t xml:space="preserve">RNF-007 · Pruebas. </w:t>
      </w:r>
      <w:r>
        <w:t>Comprobar reglas programadas con operaciones manuales y datos ficticios, sin aprobación de exactitud fiscal por el contador.</w:t>
      </w:r>
      <w:r>
        <w:rPr>
          <w:i/>
        </w:rPr>
        <w:t xml:space="preserve">  [Preguntas 121–127]</w:t>
      </w:r>
    </w:p>
    <w:p>
      <w:pPr>
        <w:pStyle w:val="Heading1"/>
      </w:pPr>
      <w:r>
        <w:t>3. Reglas de negocio (RN)</w:t>
      </w:r>
    </w:p>
    <w:p>
      <w:r>
        <w:rPr>
          <w:b/>
        </w:rPr>
        <w:t xml:space="preserve">RN-001 · </w:t>
      </w:r>
      <w:r>
        <w:t>Un servicio no se habilita hasta que el administrador confirma el pago.</w:t>
      </w:r>
      <w:r>
        <w:rPr>
          <w:i/>
        </w:rPr>
        <w:t xml:space="preserve">  [Preguntas 40–46]</w:t>
      </w:r>
    </w:p>
    <w:p>
      <w:r>
        <w:rPr>
          <w:b/>
        </w:rPr>
        <w:t xml:space="preserve">RN-002 · </w:t>
      </w:r>
      <w:r>
        <w:t>Cada compra de calculadora da un único cálculo dentro de 12 horas desde la aprobación del pago.</w:t>
      </w:r>
      <w:r>
        <w:rPr>
          <w:i/>
        </w:rPr>
        <w:t xml:space="preserve">  [Preguntas 46–55]</w:t>
      </w:r>
    </w:p>
    <w:p>
      <w:r>
        <w:rPr>
          <w:b/>
        </w:rPr>
        <w:t xml:space="preserve">RN-003 · </w:t>
      </w:r>
      <w:r>
        <w:t>Una solicitud profesional opcional por compra debe enviarse dentro de la vigencia.</w:t>
      </w:r>
      <w:r>
        <w:rPr>
          <w:i/>
        </w:rPr>
        <w:t xml:space="preserve">  [Preguntas 86–95]</w:t>
      </w:r>
    </w:p>
    <w:p>
      <w:r>
        <w:rPr>
          <w:b/>
        </w:rPr>
        <w:t xml:space="preserve">RN-004 · </w:t>
      </w:r>
      <w:r>
        <w:t>La expiración de la calculadora no cancela automáticamente una solicitud profesional ya enviada.</w:t>
      </w:r>
      <w:r>
        <w:rPr>
          <w:i/>
        </w:rPr>
        <w:t xml:space="preserve">  [Preguntas 90–95]</w:t>
      </w:r>
    </w:p>
    <w:p>
      <w:r>
        <w:rPr>
          <w:b/>
        </w:rPr>
        <w:t xml:space="preserve">RN-005 · </w:t>
      </w:r>
      <w:r>
        <w:t>La cancelación de la solicitud profesional solo es posible en estado Pendiente de revisión, sin habilitar otra solicitud con la compra.</w:t>
      </w:r>
      <w:r>
        <w:rPr>
          <w:i/>
        </w:rPr>
        <w:t xml:space="preserve">  [Preguntas 95]</w:t>
      </w:r>
    </w:p>
    <w:p>
      <w:r>
        <w:rPr>
          <w:b/>
        </w:rPr>
        <w:t xml:space="preserve">RN-006 · </w:t>
      </w:r>
      <w:r>
        <w:t>La declaración se realiza fuera de la plataforma; el PDF publicado al cliente se mantiene visible durante 14 horas.</w:t>
      </w:r>
      <w:r>
        <w:rPr>
          <w:i/>
        </w:rPr>
        <w:t xml:space="preserve">  [Preguntas 92–94]</w:t>
      </w:r>
    </w:p>
    <w:p>
      <w:r>
        <w:rPr>
          <w:b/>
        </w:rPr>
        <w:t xml:space="preserve">RN-007 · </w:t>
      </w:r>
      <w:r>
        <w:t>Los PDF preliminares permanecen en el historial después del vencimiento de 12 horas.</w:t>
      </w:r>
      <w:r>
        <w:rPr>
          <w:i/>
        </w:rPr>
        <w:t xml:space="preserve">  [Preguntas 84]</w:t>
      </w:r>
    </w:p>
    <w:p>
      <w:r>
        <w:rPr>
          <w:b/>
        </w:rPr>
        <w:t xml:space="preserve">RN-008 · </w:t>
      </w:r>
      <w:r>
        <w:t>El resultado es orientativo y no se exhibirá un margen porcentual de error sin respaldo técnico.</w:t>
      </w:r>
      <w:r>
        <w:rPr>
          <w:i/>
        </w:rPr>
        <w:t xml:space="preserve">  [Preguntas 76–83, 123]</w:t>
      </w:r>
    </w:p>
    <w:p>
      <w:pPr>
        <w:pStyle w:val="Heading1"/>
      </w:pPr>
      <w:r>
        <w:t>4. Definiciones pendientes</w:t>
      </w:r>
    </w:p>
    <w:p>
      <w:pPr>
        <w:pStyle w:val="ListBullet"/>
      </w:pPr>
      <w:r>
        <w:t>Frecuencia y responsable definitivo de respaldos tras la residencia (pregunta 119).</w:t>
      </w:r>
    </w:p>
    <w:p>
      <w:pPr>
        <w:pStyle w:val="ListBullet"/>
      </w:pPr>
      <w:r>
        <w:t>Diseño aprobado de la transferencia y manejo seguro de e.firma o credenciales SAT (pregunta 88).</w:t>
      </w:r>
    </w:p>
    <w:p>
      <w:pPr>
        <w:pStyle w:val="ListBullet"/>
      </w:pPr>
      <w:r>
        <w:t>Parámetros y fórmulas fiscales exactos antes de su implementación; el contador no aprobará las salidas de la calculadora (preguntas 76–85).</w:t>
      </w:r>
    </w:p>
    <w:p>
      <w:pPr>
        <w:pStyle w:val="ListBullet"/>
      </w:pPr>
      <w:r>
        <w:t>Tipografías y decisiones visuales secundarias (pregunta 113).</w:t>
      </w:r>
    </w:p>
    <w:sectPr w:rsidR="00FC693F" w:rsidRPr="0006063C" w:rsidSect="00034616">
      <w:footerReference w:type="default" r:id="rId9"/>
      <w:pgSz w:w="12240" w:h="15840"/>
      <w:pgMar w:top="1181" w:right="1296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W&amp;A BALANCE  |  Residencia profesional  |  Documento de trabajo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7313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8B1E2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B1E2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b/>
      <w:color w:val="8B1E2C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