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Résumé du projet Naya Logistique</w:t>
      </w:r>
    </w:p>
    <w:p>
      <w:pPr>
        <w:spacing w:after="240"/>
      </w:pPr>
      <w:r>
        <w:rPr>
          <w:rFonts w:ascii="Arial" w:hAnsi="Arial"/>
          <w:b/>
          <w:color w:val="541249"/>
          <w:sz w:val="23"/>
        </w:rPr>
        <w:t>Plateforme frigorifique pour les filières locales</w:t>
      </w:r>
    </w:p>
    <w:p>
      <w:pPr>
        <w:spacing w:after="240"/>
      </w:pPr>
      <w:r>
        <w:rPr>
          <w:rFonts w:ascii="Arial" w:hAnsi="Arial"/>
          <w:b w:val="0"/>
          <w:i/>
          <w:color w:val="555555"/>
          <w:sz w:val="19"/>
        </w:rPr>
        <w:t>Document de démonstration. Toutes les données sont fictives et ne constituent ni une offre, ni une promesse de rendement.</w:t>
      </w:r>
    </w:p>
    <w:p>
      <w:pPr>
        <w:spacing w:after="240"/>
      </w:pPr>
      <w:r>
        <w:rPr>
          <w:rFonts w:ascii="Arial" w:hAnsi="Arial"/>
          <w:b w:val="0"/>
          <w:color w:val="000000"/>
          <w:sz w:val="21"/>
        </w:rPr>
        <w:t>Naya Froid et Logistique SARL présente un besoin de financement de 95 000 000 FCFA à Dakar. Le projet vise à étendre une chaîne du froid entre producteurs, marchés urbains et restauration.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880"/>
            <w:shd w:fill="54124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Repère</w:t>
            </w:r>
          </w:p>
        </w:tc>
        <w:tc>
          <w:tcPr>
            <w:tcW w:type="dxa" w:w="6048"/>
            <w:shd w:fill="54124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Information</w:t>
            </w:r>
          </w:p>
        </w:tc>
      </w:tr>
      <w:tr>
        <w:tc>
          <w:tcPr>
            <w:tcW w:type="dxa" w:w="49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/>
                <w:color w:val="000000"/>
                <w:sz w:val="19"/>
              </w:rPr>
              <w:t>Entreprise</w:t>
            </w:r>
          </w:p>
        </w:tc>
        <w:tc>
          <w:tcPr>
            <w:tcW w:type="dxa" w:w="49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9"/>
              </w:rPr>
              <w:t>Naya Froid et Logistique SARL</w:t>
            </w:r>
          </w:p>
        </w:tc>
      </w:tr>
      <w:tr>
        <w:tc>
          <w:tcPr>
            <w:tcW w:type="dxa" w:w="49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/>
                <w:color w:val="000000"/>
                <w:sz w:val="19"/>
              </w:rPr>
              <w:t>Implantation</w:t>
            </w:r>
          </w:p>
        </w:tc>
        <w:tc>
          <w:tcPr>
            <w:tcW w:type="dxa" w:w="49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9"/>
              </w:rPr>
              <w:t>Dakar, Sénégal</w:t>
            </w:r>
          </w:p>
        </w:tc>
      </w:tr>
      <w:tr>
        <w:tc>
          <w:tcPr>
            <w:tcW w:type="dxa" w:w="49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/>
                <w:color w:val="000000"/>
                <w:sz w:val="19"/>
              </w:rPr>
              <w:t>Mode de financement</w:t>
            </w:r>
          </w:p>
        </w:tc>
        <w:tc>
          <w:tcPr>
            <w:tcW w:type="dxa" w:w="49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9"/>
              </w:rPr>
              <w:t>Financement avec remboursement</w:t>
            </w:r>
          </w:p>
        </w:tc>
      </w:tr>
      <w:tr>
        <w:tc>
          <w:tcPr>
            <w:tcW w:type="dxa" w:w="49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/>
                <w:color w:val="000000"/>
                <w:sz w:val="19"/>
              </w:rPr>
              <w:t>Montant recherché</w:t>
            </w:r>
          </w:p>
        </w:tc>
        <w:tc>
          <w:tcPr>
            <w:tcW w:type="dxa" w:w="49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9"/>
              </w:rPr>
              <w:t>95 000 000 FCFA</w:t>
            </w:r>
          </w:p>
        </w:tc>
      </w:tr>
      <w:tr>
        <w:tc>
          <w:tcPr>
            <w:tcW w:type="dxa" w:w="49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/>
                <w:color w:val="000000"/>
                <w:sz w:val="19"/>
              </w:rPr>
              <w:t>Participation minimale</w:t>
            </w:r>
          </w:p>
        </w:tc>
        <w:tc>
          <w:tcPr>
            <w:tcW w:type="dxa" w:w="49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9"/>
              </w:rPr>
              <w:t>100 000 FCFA</w:t>
            </w:r>
          </w:p>
        </w:tc>
      </w:tr>
      <w:tr>
        <w:tc>
          <w:tcPr>
            <w:tcW w:type="dxa" w:w="49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/>
                <w:color w:val="000000"/>
                <w:sz w:val="19"/>
              </w:rPr>
              <w:t>Conditions indicatives</w:t>
            </w:r>
          </w:p>
        </w:tc>
        <w:tc>
          <w:tcPr>
            <w:tcW w:type="dxa" w:w="49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9"/>
              </w:rPr>
              <w:t>10,25 % par an sur 24 mois, avec 2 mois de différé</w:t>
            </w:r>
          </w:p>
        </w:tc>
      </w:tr>
    </w:tbl>
    <w:p>
      <w:pPr>
        <w:pStyle w:val="Heading1"/>
      </w:pPr>
      <w:r>
        <w:t>Utilisation prévue des fonds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5904"/>
            <w:shd w:fill="54124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Poste</w:t>
            </w:r>
          </w:p>
        </w:tc>
        <w:tc>
          <w:tcPr>
            <w:tcW w:type="dxa" w:w="3024"/>
            <w:shd w:fill="54124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Montant indicatif</w:t>
            </w:r>
          </w:p>
        </w:tc>
      </w:tr>
      <w:tr>
        <w:tc>
          <w:tcPr>
            <w:tcW w:type="dxa" w:w="49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9"/>
              </w:rPr>
              <w:t>Chambres froides</w:t>
            </w:r>
          </w:p>
        </w:tc>
        <w:tc>
          <w:tcPr>
            <w:tcW w:type="dxa" w:w="49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000000"/>
                <w:sz w:val="19"/>
              </w:rPr>
              <w:t>41 000 000 FCFA</w:t>
            </w:r>
          </w:p>
        </w:tc>
      </w:tr>
      <w:tr>
        <w:tc>
          <w:tcPr>
            <w:tcW w:type="dxa" w:w="49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8F0F6"/>
          </w:tcPr>
          <w:p>
            <w:r>
              <w:rPr>
                <w:rFonts w:ascii="Arial" w:hAnsi="Arial"/>
                <w:b w:val="0"/>
                <w:color w:val="000000"/>
                <w:sz w:val="19"/>
              </w:rPr>
              <w:t>Véhicules</w:t>
            </w:r>
          </w:p>
        </w:tc>
        <w:tc>
          <w:tcPr>
            <w:tcW w:type="dxa" w:w="49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8F0F6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000000"/>
                <w:sz w:val="19"/>
              </w:rPr>
              <w:t>34 000 000 FCFA</w:t>
            </w:r>
          </w:p>
        </w:tc>
      </w:tr>
      <w:tr>
        <w:tc>
          <w:tcPr>
            <w:tcW w:type="dxa" w:w="49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9"/>
              </w:rPr>
              <w:t>Suivi numérique</w:t>
            </w:r>
          </w:p>
        </w:tc>
        <w:tc>
          <w:tcPr>
            <w:tcW w:type="dxa" w:w="49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000000"/>
                <w:sz w:val="19"/>
              </w:rPr>
              <w:t>8 000 000 FCFA</w:t>
            </w:r>
          </w:p>
        </w:tc>
      </w:tr>
      <w:tr>
        <w:tc>
          <w:tcPr>
            <w:tcW w:type="dxa" w:w="49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8F0F6"/>
          </w:tcPr>
          <w:p>
            <w:r>
              <w:rPr>
                <w:rFonts w:ascii="Arial" w:hAnsi="Arial"/>
                <w:b w:val="0"/>
                <w:color w:val="000000"/>
                <w:sz w:val="19"/>
              </w:rPr>
              <w:t>Fonds de roulement</w:t>
            </w:r>
          </w:p>
        </w:tc>
        <w:tc>
          <w:tcPr>
            <w:tcW w:type="dxa" w:w="49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8F0F6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000000"/>
                <w:sz w:val="19"/>
              </w:rPr>
              <w:t>12 000 000 FCFA</w:t>
            </w:r>
          </w:p>
        </w:tc>
      </w:tr>
    </w:tbl>
    <w:p>
      <w:pPr>
        <w:pStyle w:val="Heading1"/>
      </w:pPr>
      <w:r>
        <w:t>Risques à examiner</w:t>
      </w:r>
    </w:p>
    <w:p>
      <w:pPr>
        <w:spacing w:after="160"/>
      </w:pPr>
      <w:r>
        <w:rPr>
          <w:rFonts w:ascii="Arial" w:hAnsi="Arial"/>
          <w:b w:val="0"/>
          <w:color w:val="000000"/>
          <w:sz w:val="21"/>
        </w:rPr>
        <w:t>Saisonnalité des volumes, coût de l'énergie, maintenance et concentration initiale de la clientèle.</w:t>
      </w:r>
    </w:p>
    <w:sectPr w:rsidR="00FC693F" w:rsidRPr="0006063C" w:rsidSect="00034616">
      <w:footerReference w:type="default" r:id="rId9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666666"/>
        <w:sz w:val="17"/>
      </w:rPr>
      <w:t>Dossier fictif de démonstration - septembre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