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Résumé du projet Sunu Énergie</w:t>
      </w:r>
    </w:p>
    <w:p>
      <w:pPr>
        <w:spacing w:after="240"/>
      </w:pPr>
      <w:r>
        <w:rPr>
          <w:rFonts w:ascii="Arial" w:hAnsi="Arial"/>
          <w:b/>
          <w:color w:val="541249"/>
          <w:sz w:val="23"/>
        </w:rPr>
        <w:t>Mini-réseaux solaires pour commerces de proximité</w:t>
      </w:r>
    </w:p>
    <w:p>
      <w:pPr>
        <w:spacing w:after="240"/>
      </w:pPr>
      <w:r>
        <w:rPr>
          <w:rFonts w:ascii="Arial" w:hAnsi="Arial"/>
          <w:b w:val="0"/>
          <w:i/>
          <w:color w:val="555555"/>
          <w:sz w:val="19"/>
        </w:rPr>
        <w:t>Document de démonstration. Toutes les données sont fictives et ne constituent ni une offre, ni une promesse de rendement.</w:t>
      </w:r>
    </w:p>
    <w:p>
      <w:pPr>
        <w:spacing w:after="240"/>
      </w:pPr>
      <w:r>
        <w:rPr>
          <w:rFonts w:ascii="Arial" w:hAnsi="Arial"/>
          <w:b w:val="0"/>
          <w:color w:val="000000"/>
          <w:sz w:val="21"/>
        </w:rPr>
        <w:t>Sunu Énergie Décentralisée SA présente un besoin de financement de 180 000 000 FCFA à Abidjan. Le projet vise à déployer 24 unités solaires avec stockage pour 310 commerces à Abidjan et Bouaké.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5412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Repère</w:t>
            </w:r>
          </w:p>
        </w:tc>
        <w:tc>
          <w:tcPr>
            <w:tcW w:type="dxa" w:w="6048"/>
            <w:shd w:fill="5412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Information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Entreprise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Sunu Énergie Décentralisée SA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Implantation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Abidjan, Côte d'Ivoire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Mode de financement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Financement avec remboursement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Montant recherché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180 000 000 FCFA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Participation minimale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250 000 FCFA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Conditions indicatives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11,5 % par an sur 30 mois, avec 3 mois de différé</w:t>
            </w:r>
          </w:p>
        </w:tc>
      </w:tr>
    </w:tbl>
    <w:p>
      <w:pPr>
        <w:pStyle w:val="Heading1"/>
      </w:pPr>
      <w:r>
        <w:t>Utilisation prévue des fonds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5904"/>
            <w:shd w:fill="5412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Poste</w:t>
            </w:r>
          </w:p>
        </w:tc>
        <w:tc>
          <w:tcPr>
            <w:tcW w:type="dxa" w:w="3024"/>
            <w:shd w:fill="5412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Montant indicatif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Panneaux et onduleurs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00000"/>
                <w:sz w:val="19"/>
              </w:rPr>
              <w:t>92 000 000 FCFA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8F0F6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Batteries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8F0F6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00000"/>
                <w:sz w:val="19"/>
              </w:rPr>
              <w:t>48 000 000 FCFA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Installation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00000"/>
                <w:sz w:val="19"/>
              </w:rPr>
              <w:t>24 000 000 FCFA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8F0F6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Réserve opérationnelle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8F0F6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00000"/>
                <w:sz w:val="19"/>
              </w:rPr>
              <w:t>16 000 000 FCFA</w:t>
            </w:r>
          </w:p>
        </w:tc>
      </w:tr>
    </w:tbl>
    <w:p>
      <w:pPr>
        <w:pStyle w:val="Heading1"/>
      </w:pPr>
      <w:r>
        <w:t>Risques à examiner</w:t>
      </w:r>
    </w:p>
    <w:p>
      <w:pPr>
        <w:spacing w:after="160"/>
      </w:pPr>
      <w:r>
        <w:rPr>
          <w:rFonts w:ascii="Arial" w:hAnsi="Arial"/>
          <w:b w:val="0"/>
          <w:color w:val="000000"/>
          <w:sz w:val="21"/>
        </w:rPr>
        <w:t>Variation du coût des équipements importés, rythme de raccordement et retards de paiement.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7"/>
      </w:rPr>
      <w:t>Dossier fictif de démonstration - septembre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