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DFDF" w14:textId="6FAA83D0" w:rsidR="00123597" w:rsidRDefault="00123597" w:rsidP="00C504E8">
      <w:pPr>
        <w:pStyle w:val="Title"/>
        <w:jc w:val="center"/>
      </w:pPr>
      <w:r>
        <w:t xml:space="preserve">User Guide for </w:t>
      </w:r>
      <w:proofErr w:type="spellStart"/>
      <w:r w:rsidR="00D92151">
        <w:t>sparc_</w:t>
      </w:r>
      <w:proofErr w:type="gramStart"/>
      <w:r w:rsidR="00D92151">
        <w:t>medication</w:t>
      </w:r>
      <w:proofErr w:type="spellEnd"/>
      <w:r w:rsidR="00D92151">
        <w:t>(</w:t>
      </w:r>
      <w:proofErr w:type="gramEnd"/>
      <w:r w:rsidR="00D92151">
        <w:t>)</w:t>
      </w:r>
      <w:r>
        <w:t xml:space="preserve"> Function</w:t>
      </w:r>
    </w:p>
    <w:p w14:paraId="7DDF8FA2" w14:textId="049639E8" w:rsidR="0070040D" w:rsidRDefault="0070040D" w:rsidP="0070040D"/>
    <w:p w14:paraId="334BED04" w14:textId="1AAFC182" w:rsidR="0070040D" w:rsidRPr="0070040D" w:rsidRDefault="0070040D" w:rsidP="00C128F1">
      <w:pPr>
        <w:pStyle w:val="Subtitle"/>
        <w:jc w:val="center"/>
      </w:pPr>
      <w:r>
        <w:t>Crohn’s and Colitis Foundation</w:t>
      </w:r>
    </w:p>
    <w:p w14:paraId="78E1EAF2" w14:textId="2614A0D7" w:rsidR="0070040D" w:rsidRDefault="00227188" w:rsidP="00C128F1">
      <w:pPr>
        <w:pStyle w:val="Subtitle"/>
        <w:jc w:val="center"/>
      </w:pPr>
      <w:r>
        <w:t>12/3</w:t>
      </w:r>
      <w:r w:rsidR="00C128F1">
        <w:t>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4168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CC314A" w14:textId="1D52B9A8" w:rsidR="00C504E8" w:rsidRDefault="00C504E8">
          <w:pPr>
            <w:pStyle w:val="TOCHeading"/>
          </w:pPr>
          <w:r>
            <w:t>Contents</w:t>
          </w:r>
        </w:p>
        <w:p w14:paraId="336BB71B" w14:textId="48174EDE" w:rsidR="0091258A" w:rsidRDefault="00C504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0725" w:history="1">
            <w:r w:rsidR="0091258A" w:rsidRPr="009C661C">
              <w:rPr>
                <w:rStyle w:val="Hyperlink"/>
                <w:noProof/>
              </w:rPr>
              <w:t>Overview</w:t>
            </w:r>
            <w:r w:rsidR="0091258A">
              <w:rPr>
                <w:noProof/>
                <w:webHidden/>
              </w:rPr>
              <w:tab/>
            </w:r>
            <w:r w:rsidR="0091258A">
              <w:rPr>
                <w:noProof/>
                <w:webHidden/>
              </w:rPr>
              <w:fldChar w:fldCharType="begin"/>
            </w:r>
            <w:r w:rsidR="0091258A">
              <w:rPr>
                <w:noProof/>
                <w:webHidden/>
              </w:rPr>
              <w:instrText xml:space="preserve"> PAGEREF _Toc52380725 \h </w:instrText>
            </w:r>
            <w:r w:rsidR="0091258A">
              <w:rPr>
                <w:noProof/>
                <w:webHidden/>
              </w:rPr>
            </w:r>
            <w:r w:rsidR="0091258A">
              <w:rPr>
                <w:noProof/>
                <w:webHidden/>
              </w:rPr>
              <w:fldChar w:fldCharType="separate"/>
            </w:r>
            <w:r w:rsidR="000C70BC">
              <w:rPr>
                <w:noProof/>
                <w:webHidden/>
              </w:rPr>
              <w:t>2</w:t>
            </w:r>
            <w:r w:rsidR="0091258A">
              <w:rPr>
                <w:noProof/>
                <w:webHidden/>
              </w:rPr>
              <w:fldChar w:fldCharType="end"/>
            </w:r>
          </w:hyperlink>
        </w:p>
        <w:p w14:paraId="465C48F8" w14:textId="25D4E17B" w:rsidR="0091258A" w:rsidRDefault="003D31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0726" w:history="1">
            <w:r w:rsidR="0091258A" w:rsidRPr="009C661C">
              <w:rPr>
                <w:rStyle w:val="Hyperlink"/>
                <w:noProof/>
              </w:rPr>
              <w:t>Requirements</w:t>
            </w:r>
            <w:r w:rsidR="0091258A">
              <w:rPr>
                <w:noProof/>
                <w:webHidden/>
              </w:rPr>
              <w:tab/>
            </w:r>
            <w:r w:rsidR="0091258A">
              <w:rPr>
                <w:noProof/>
                <w:webHidden/>
              </w:rPr>
              <w:fldChar w:fldCharType="begin"/>
            </w:r>
            <w:r w:rsidR="0091258A">
              <w:rPr>
                <w:noProof/>
                <w:webHidden/>
              </w:rPr>
              <w:instrText xml:space="preserve"> PAGEREF _Toc52380726 \h </w:instrText>
            </w:r>
            <w:r w:rsidR="0091258A">
              <w:rPr>
                <w:noProof/>
                <w:webHidden/>
              </w:rPr>
            </w:r>
            <w:r w:rsidR="0091258A">
              <w:rPr>
                <w:noProof/>
                <w:webHidden/>
              </w:rPr>
              <w:fldChar w:fldCharType="separate"/>
            </w:r>
            <w:r w:rsidR="000C70BC">
              <w:rPr>
                <w:noProof/>
                <w:webHidden/>
              </w:rPr>
              <w:t>2</w:t>
            </w:r>
            <w:r w:rsidR="0091258A">
              <w:rPr>
                <w:noProof/>
                <w:webHidden/>
              </w:rPr>
              <w:fldChar w:fldCharType="end"/>
            </w:r>
          </w:hyperlink>
        </w:p>
        <w:p w14:paraId="5D683AD8" w14:textId="5686E1D3" w:rsidR="0091258A" w:rsidRDefault="003D31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0727" w:history="1">
            <w:r w:rsidR="0091258A" w:rsidRPr="009C661C">
              <w:rPr>
                <w:rStyle w:val="Hyperlink"/>
                <w:noProof/>
              </w:rPr>
              <w:t>Output Table</w:t>
            </w:r>
            <w:r w:rsidR="0091258A">
              <w:rPr>
                <w:noProof/>
                <w:webHidden/>
              </w:rPr>
              <w:tab/>
            </w:r>
            <w:r w:rsidR="0091258A">
              <w:rPr>
                <w:noProof/>
                <w:webHidden/>
              </w:rPr>
              <w:fldChar w:fldCharType="begin"/>
            </w:r>
            <w:r w:rsidR="0091258A">
              <w:rPr>
                <w:noProof/>
                <w:webHidden/>
              </w:rPr>
              <w:instrText xml:space="preserve"> PAGEREF _Toc52380727 \h </w:instrText>
            </w:r>
            <w:r w:rsidR="0091258A">
              <w:rPr>
                <w:noProof/>
                <w:webHidden/>
              </w:rPr>
            </w:r>
            <w:r w:rsidR="0091258A">
              <w:rPr>
                <w:noProof/>
                <w:webHidden/>
              </w:rPr>
              <w:fldChar w:fldCharType="separate"/>
            </w:r>
            <w:r w:rsidR="000C70BC">
              <w:rPr>
                <w:noProof/>
                <w:webHidden/>
              </w:rPr>
              <w:t>3</w:t>
            </w:r>
            <w:r w:rsidR="0091258A">
              <w:rPr>
                <w:noProof/>
                <w:webHidden/>
              </w:rPr>
              <w:fldChar w:fldCharType="end"/>
            </w:r>
          </w:hyperlink>
        </w:p>
        <w:p w14:paraId="2C8BBCF9" w14:textId="02A647C4" w:rsidR="00C504E8" w:rsidRDefault="00C504E8">
          <w:r>
            <w:rPr>
              <w:b/>
              <w:bCs/>
              <w:noProof/>
            </w:rPr>
            <w:fldChar w:fldCharType="end"/>
          </w:r>
        </w:p>
      </w:sdtContent>
    </w:sdt>
    <w:p w14:paraId="366A42CE" w14:textId="77777777" w:rsidR="00EA1E37" w:rsidRPr="00EA1E37" w:rsidRDefault="00EA1E37" w:rsidP="00EA1E37"/>
    <w:p w14:paraId="15EA7DC4" w14:textId="77777777" w:rsidR="00A615ED" w:rsidRDefault="00A615ED" w:rsidP="00123597">
      <w:pPr>
        <w:pStyle w:val="Heading2"/>
        <w:sectPr w:rsidR="00A615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7CB41C" w14:textId="7D433238" w:rsidR="00123597" w:rsidRDefault="00123597" w:rsidP="00123597">
      <w:pPr>
        <w:pStyle w:val="Heading2"/>
      </w:pPr>
      <w:bookmarkStart w:id="0" w:name="_Toc52380725"/>
      <w:r>
        <w:lastRenderedPageBreak/>
        <w:t>Overview</w:t>
      </w:r>
      <w:bookmarkEnd w:id="0"/>
      <w:r>
        <w:t xml:space="preserve"> </w:t>
      </w:r>
    </w:p>
    <w:p w14:paraId="70417B0D" w14:textId="41A0713D" w:rsidR="00123597" w:rsidRDefault="00D92151">
      <w:proofErr w:type="spellStart"/>
      <w:r>
        <w:t>Sparc_</w:t>
      </w:r>
      <w:proofErr w:type="gramStart"/>
      <w:r>
        <w:t>medication</w:t>
      </w:r>
      <w:proofErr w:type="spellEnd"/>
      <w:r>
        <w:t>(</w:t>
      </w:r>
      <w:proofErr w:type="gramEnd"/>
      <w:r>
        <w:t xml:space="preserve">) </w:t>
      </w:r>
      <w:r w:rsidR="00123597">
        <w:t xml:space="preserve">is a </w:t>
      </w:r>
      <w:r>
        <w:t>function</w:t>
      </w:r>
      <w:r w:rsidR="00123597">
        <w:t xml:space="preserve"> that reads in SPARC data from IBD Plexus, and </w:t>
      </w:r>
      <w:r w:rsidR="00BB1FA3">
        <w:t xml:space="preserve">finds the medications the participant is prescribed from the electronic medical record and </w:t>
      </w:r>
      <w:r w:rsidR="009A3FBD">
        <w:t xml:space="preserve">patient reported case report forms </w:t>
      </w:r>
      <w:r w:rsidR="00123597">
        <w:t xml:space="preserve">at a specific (“index”) date. </w:t>
      </w:r>
    </w:p>
    <w:p w14:paraId="4C76B3E9" w14:textId="0B96098E" w:rsidR="00123597" w:rsidRDefault="00123597" w:rsidP="00691A8E">
      <w:pPr>
        <w:pStyle w:val="Heading2"/>
      </w:pPr>
      <w:bookmarkStart w:id="1" w:name="_Toc52380726"/>
      <w:r>
        <w:t>Requirements</w:t>
      </w:r>
      <w:bookmarkEnd w:id="1"/>
      <w:r>
        <w:t xml:space="preserve"> </w:t>
      </w:r>
    </w:p>
    <w:p w14:paraId="03D47212" w14:textId="4F3E2554" w:rsidR="00123597" w:rsidRDefault="00123597" w:rsidP="00123597">
      <w:pPr>
        <w:pStyle w:val="ListParagraph"/>
        <w:numPr>
          <w:ilvl w:val="0"/>
          <w:numId w:val="1"/>
        </w:numPr>
      </w:pPr>
      <w:r>
        <w:t xml:space="preserve">R Version 4.0.0 or above </w:t>
      </w:r>
    </w:p>
    <w:p w14:paraId="1C733512" w14:textId="1EA472DF" w:rsidR="00123597" w:rsidRDefault="00123597" w:rsidP="00123597">
      <w:pPr>
        <w:pStyle w:val="ListParagraph"/>
        <w:numPr>
          <w:ilvl w:val="0"/>
          <w:numId w:val="1"/>
        </w:numPr>
      </w:pPr>
      <w:r>
        <w:t>The following R packages are required</w:t>
      </w:r>
      <w:r w:rsidR="00691A8E">
        <w:t xml:space="preserve"> and can be installed using install.packages(“package name”)</w:t>
      </w:r>
    </w:p>
    <w:p w14:paraId="73271AAD" w14:textId="4AFA145D" w:rsidR="00123597" w:rsidRDefault="00123597" w:rsidP="00123597">
      <w:pPr>
        <w:pStyle w:val="ListParagraph"/>
        <w:numPr>
          <w:ilvl w:val="1"/>
          <w:numId w:val="1"/>
        </w:numPr>
      </w:pPr>
      <w:r>
        <w:t>reshape2</w:t>
      </w:r>
    </w:p>
    <w:p w14:paraId="59609A86" w14:textId="2D3E0A4C" w:rsidR="00123597" w:rsidRDefault="00123597" w:rsidP="00123597">
      <w:pPr>
        <w:pStyle w:val="ListParagraph"/>
        <w:numPr>
          <w:ilvl w:val="1"/>
          <w:numId w:val="1"/>
        </w:numPr>
      </w:pPr>
      <w:r>
        <w:t>tidyverse</w:t>
      </w:r>
    </w:p>
    <w:p w14:paraId="401DD0C3" w14:textId="361B6474" w:rsidR="00123597" w:rsidRDefault="00123597" w:rsidP="00123597">
      <w:pPr>
        <w:pStyle w:val="ListParagraph"/>
        <w:numPr>
          <w:ilvl w:val="1"/>
          <w:numId w:val="1"/>
        </w:numPr>
      </w:pPr>
      <w:r>
        <w:t>lubridate</w:t>
      </w:r>
    </w:p>
    <w:p w14:paraId="53E99274" w14:textId="4EF07A31" w:rsidR="00123597" w:rsidRDefault="00123597" w:rsidP="00123597">
      <w:pPr>
        <w:pStyle w:val="ListParagraph"/>
        <w:numPr>
          <w:ilvl w:val="1"/>
          <w:numId w:val="1"/>
        </w:numPr>
      </w:pPr>
      <w:r>
        <w:t>DT</w:t>
      </w:r>
    </w:p>
    <w:p w14:paraId="7A8C9ACA" w14:textId="43096960" w:rsidR="00123597" w:rsidRDefault="00123597" w:rsidP="00123597">
      <w:pPr>
        <w:pStyle w:val="ListParagraph"/>
        <w:numPr>
          <w:ilvl w:val="1"/>
          <w:numId w:val="1"/>
        </w:numPr>
      </w:pPr>
      <w:r>
        <w:t>readxl</w:t>
      </w:r>
    </w:p>
    <w:p w14:paraId="5B1C513A" w14:textId="4885B593" w:rsidR="00123597" w:rsidRDefault="00123597" w:rsidP="00123597">
      <w:pPr>
        <w:pStyle w:val="ListParagraph"/>
        <w:numPr>
          <w:ilvl w:val="1"/>
          <w:numId w:val="1"/>
        </w:numPr>
      </w:pPr>
      <w:r>
        <w:t>openxlsx</w:t>
      </w:r>
    </w:p>
    <w:p w14:paraId="4C93A623" w14:textId="7EB34977" w:rsidR="00123597" w:rsidRDefault="00691A8E" w:rsidP="00123597">
      <w:pPr>
        <w:pStyle w:val="ListParagraph"/>
        <w:numPr>
          <w:ilvl w:val="0"/>
          <w:numId w:val="1"/>
        </w:numPr>
      </w:pPr>
      <w:r>
        <w:t>datadir = the directory where the unzipped SPARC data from IBD Plexus is saved</w:t>
      </w:r>
    </w:p>
    <w:p w14:paraId="3F165D95" w14:textId="5F0BC5ED" w:rsidR="00691A8E" w:rsidRDefault="00691A8E" w:rsidP="00691A8E">
      <w:pPr>
        <w:pStyle w:val="ListParagraph"/>
        <w:numPr>
          <w:ilvl w:val="1"/>
          <w:numId w:val="1"/>
        </w:numPr>
      </w:pPr>
      <w:r>
        <w:t>.csv and .txt format are acceptable</w:t>
      </w:r>
    </w:p>
    <w:p w14:paraId="61B4FF92" w14:textId="370048FB" w:rsidR="00691A8E" w:rsidRDefault="00691A8E" w:rsidP="00691A8E">
      <w:pPr>
        <w:pStyle w:val="ListParagraph"/>
        <w:numPr>
          <w:ilvl w:val="1"/>
          <w:numId w:val="1"/>
        </w:numPr>
      </w:pPr>
      <w:r>
        <w:t xml:space="preserve">If multiple extracts are saved in the same folder, the most recent files will be selected </w:t>
      </w:r>
    </w:p>
    <w:p w14:paraId="46A3C7D9" w14:textId="75543217" w:rsidR="00691A8E" w:rsidRDefault="00691A8E" w:rsidP="00691A8E">
      <w:pPr>
        <w:pStyle w:val="ListParagraph"/>
        <w:numPr>
          <w:ilvl w:val="0"/>
          <w:numId w:val="1"/>
        </w:numPr>
      </w:pPr>
      <w:r>
        <w:t xml:space="preserve">Index_info = a data frame with DEIDENTIFIED_MASTER_PATIENT_ID and a variable named index_date. </w:t>
      </w:r>
    </w:p>
    <w:p w14:paraId="3A128F25" w14:textId="205E7A34" w:rsidR="00691A8E" w:rsidRDefault="00691A8E" w:rsidP="00691A8E">
      <w:pPr>
        <w:pStyle w:val="ListParagraph"/>
        <w:numPr>
          <w:ilvl w:val="1"/>
          <w:numId w:val="1"/>
        </w:numPr>
      </w:pPr>
      <w:r>
        <w:t xml:space="preserve">The default index_date is the DATE_OF_CONSENT </w:t>
      </w:r>
    </w:p>
    <w:p w14:paraId="6E813D15" w14:textId="4D7CC07B" w:rsidR="00691A8E" w:rsidRDefault="00691A8E" w:rsidP="00691A8E">
      <w:pPr>
        <w:pStyle w:val="ListParagraph"/>
        <w:numPr>
          <w:ilvl w:val="0"/>
          <w:numId w:val="1"/>
        </w:numPr>
      </w:pPr>
      <w:r>
        <w:t xml:space="preserve">Filename = the name of the output file. </w:t>
      </w:r>
    </w:p>
    <w:p w14:paraId="78644BE7" w14:textId="77777777" w:rsidR="00691A8E" w:rsidRDefault="00691A8E" w:rsidP="00691A8E">
      <w:pPr>
        <w:pStyle w:val="ListParagraph"/>
        <w:numPr>
          <w:ilvl w:val="1"/>
          <w:numId w:val="1"/>
        </w:numPr>
      </w:pPr>
      <w:r>
        <w:t>Must be in .xlsx format</w:t>
      </w:r>
    </w:p>
    <w:p w14:paraId="45F106B9" w14:textId="0249F04C" w:rsidR="00691A8E" w:rsidRDefault="00691A8E" w:rsidP="00691A8E">
      <w:pPr>
        <w:pStyle w:val="ListParagraph"/>
        <w:numPr>
          <w:ilvl w:val="1"/>
          <w:numId w:val="1"/>
        </w:numPr>
      </w:pPr>
      <w:r>
        <w:t>The default is SPARC_</w:t>
      </w:r>
      <w:r w:rsidR="00412E5D">
        <w:t>MEDICATION</w:t>
      </w:r>
      <w:r>
        <w:t xml:space="preserve">.xlsx </w:t>
      </w:r>
    </w:p>
    <w:p w14:paraId="0EB29D2E" w14:textId="357DE5A3" w:rsidR="00691A8E" w:rsidRDefault="00691A8E" w:rsidP="00691A8E">
      <w:pPr>
        <w:pStyle w:val="ListParagraph"/>
        <w:numPr>
          <w:ilvl w:val="0"/>
          <w:numId w:val="1"/>
        </w:numPr>
      </w:pPr>
      <w:r>
        <w:t xml:space="preserve">Index_range = the number of days to look out from index date. </w:t>
      </w:r>
    </w:p>
    <w:p w14:paraId="1C5F8607" w14:textId="4E75B2AB" w:rsidR="00691A8E" w:rsidRDefault="00691A8E" w:rsidP="00691A8E">
      <w:pPr>
        <w:pStyle w:val="ListParagraph"/>
        <w:numPr>
          <w:ilvl w:val="1"/>
          <w:numId w:val="1"/>
        </w:numPr>
      </w:pPr>
      <w:r>
        <w:t>The default is 14 days</w:t>
      </w:r>
    </w:p>
    <w:p w14:paraId="39DF7F9F" w14:textId="10B1F59C" w:rsidR="00691A8E" w:rsidRDefault="00691A8E" w:rsidP="00691A8E">
      <w:pPr>
        <w:pStyle w:val="ListParagraph"/>
        <w:numPr>
          <w:ilvl w:val="1"/>
          <w:numId w:val="1"/>
        </w:numPr>
      </w:pPr>
      <w:r>
        <w:t xml:space="preserve">For example, to see </w:t>
      </w:r>
      <w:r w:rsidR="00412E5D">
        <w:t>medications</w:t>
      </w:r>
      <w:r>
        <w:t xml:space="preserve"> within +/- 30 days of </w:t>
      </w:r>
      <w:r w:rsidR="00412E5D">
        <w:t>the index date</w:t>
      </w:r>
      <w:r>
        <w:t xml:space="preserve">, the index_range = “30”. </w:t>
      </w:r>
    </w:p>
    <w:p w14:paraId="16280A10" w14:textId="735BF0EC" w:rsidR="007402E8" w:rsidRDefault="007402E8" w:rsidP="007402E8">
      <w:pPr>
        <w:pStyle w:val="ListParagraph"/>
        <w:numPr>
          <w:ilvl w:val="0"/>
          <w:numId w:val="1"/>
        </w:numPr>
      </w:pPr>
      <w:r>
        <w:t xml:space="preserve">MED_CODES.csv </w:t>
      </w:r>
      <w:r w:rsidR="00C04260">
        <w:t xml:space="preserve">= a file that has </w:t>
      </w:r>
      <w:r w:rsidR="0005274F">
        <w:t>the medications of interest saved in the working directory</w:t>
      </w:r>
    </w:p>
    <w:p w14:paraId="69DBB641" w14:textId="0FCE8814" w:rsidR="00C04260" w:rsidRDefault="0005274F" w:rsidP="00C04260">
      <w:pPr>
        <w:pStyle w:val="ListParagraph"/>
        <w:numPr>
          <w:ilvl w:val="1"/>
          <w:numId w:val="1"/>
        </w:numPr>
      </w:pPr>
      <w:r>
        <w:t>MEDICATION_NAME</w:t>
      </w:r>
      <w:r w:rsidR="000A7FDA">
        <w:t>=</w:t>
      </w:r>
      <w:r>
        <w:t xml:space="preserve"> the medication of interest </w:t>
      </w:r>
      <w:r w:rsidR="009967C2">
        <w:t xml:space="preserve">and includes the generic and </w:t>
      </w:r>
      <w:r w:rsidR="000A7FDA">
        <w:t>brand names</w:t>
      </w:r>
    </w:p>
    <w:p w14:paraId="0CA14097" w14:textId="5CAFB31F" w:rsidR="0086237C" w:rsidRDefault="000A7FDA" w:rsidP="00C04260">
      <w:pPr>
        <w:pStyle w:val="ListParagraph"/>
        <w:numPr>
          <w:ilvl w:val="1"/>
          <w:numId w:val="1"/>
        </w:numPr>
      </w:pPr>
      <w:r>
        <w:t xml:space="preserve">Med_type </w:t>
      </w:r>
      <w:r w:rsidR="0086237C">
        <w:t>= the medication class (i.e. Biologic, Antibiotic, etc)</w:t>
      </w:r>
    </w:p>
    <w:p w14:paraId="43FD6796" w14:textId="71AA515A" w:rsidR="0005274F" w:rsidRDefault="0086237C" w:rsidP="00C04260">
      <w:pPr>
        <w:pStyle w:val="ListParagraph"/>
        <w:numPr>
          <w:ilvl w:val="1"/>
          <w:numId w:val="1"/>
        </w:numPr>
      </w:pPr>
      <w:r>
        <w:t xml:space="preserve">New_med_name = the </w:t>
      </w:r>
      <w:r w:rsidR="00D55F40">
        <w:t>generic name of the dru</w:t>
      </w:r>
      <w:r w:rsidR="00020145">
        <w:t xml:space="preserve">g </w:t>
      </w:r>
    </w:p>
    <w:p w14:paraId="7188304D" w14:textId="77777777" w:rsidR="00A615ED" w:rsidRDefault="00A615ED" w:rsidP="00A615ED">
      <w:pPr>
        <w:pStyle w:val="Heading2"/>
      </w:pPr>
    </w:p>
    <w:p w14:paraId="1099F470" w14:textId="3DD6B91C" w:rsidR="007402E8" w:rsidRPr="007402E8" w:rsidRDefault="007402E8" w:rsidP="007402E8">
      <w:pPr>
        <w:sectPr w:rsidR="007402E8" w:rsidRPr="007402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05A4C" w14:textId="39D50A8A" w:rsidR="00691A8E" w:rsidRDefault="00A615ED" w:rsidP="00A615ED">
      <w:pPr>
        <w:pStyle w:val="Heading2"/>
      </w:pPr>
      <w:bookmarkStart w:id="2" w:name="_Toc52380727"/>
      <w:r>
        <w:lastRenderedPageBreak/>
        <w:t xml:space="preserve">Output </w:t>
      </w:r>
      <w:r w:rsidR="00C128F1">
        <w:t>Table</w:t>
      </w:r>
      <w:bookmarkEnd w:id="2"/>
    </w:p>
    <w:p w14:paraId="44C61BFD" w14:textId="13570A58" w:rsidR="00A615ED" w:rsidRDefault="00A615ED" w:rsidP="00A615ED"/>
    <w:p w14:paraId="0D34915D" w14:textId="7146DBF5" w:rsidR="007E1886" w:rsidRDefault="007E1886" w:rsidP="00A615ED">
      <w:r>
        <w:t>The output file “SPARC_</w:t>
      </w:r>
      <w:r w:rsidR="00412E5D">
        <w:t>MEDICATION</w:t>
      </w:r>
      <w:r>
        <w:t xml:space="preserve">.xlsx” </w:t>
      </w:r>
      <w:r w:rsidR="00412E5D">
        <w:t>includes</w:t>
      </w:r>
      <w:r>
        <w:t xml:space="preserve"> the following columns. </w:t>
      </w:r>
      <w:r w:rsidR="00056E1C">
        <w:t xml:space="preserve">If more than the DEIDENTIFIED_MASTER_PATIENT_ID and </w:t>
      </w:r>
      <w:r w:rsidR="00C06281">
        <w:t xml:space="preserve">index_date </w:t>
      </w:r>
      <w:r w:rsidR="005F4567">
        <w:t>is</w:t>
      </w:r>
      <w:r w:rsidR="00C06281">
        <w:t xml:space="preserve"> in the index_info data.frame, those columns will be included as well. </w:t>
      </w:r>
      <w:r w:rsidR="00EF2304">
        <w:t xml:space="preserve"> </w:t>
      </w:r>
      <w:r w:rsidR="00A712A3">
        <w:t>Unless otherwise specified, t</w:t>
      </w:r>
      <w:r w:rsidR="00EF2304">
        <w:t xml:space="preserve">he closest value to the index date is used if there are multiple reported values within the index range. </w:t>
      </w:r>
    </w:p>
    <w:p w14:paraId="1B4724AF" w14:textId="77777777" w:rsidR="007E1886" w:rsidRDefault="007E1886" w:rsidP="00A615ED"/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955"/>
        <w:gridCol w:w="720"/>
        <w:gridCol w:w="1065"/>
        <w:gridCol w:w="966"/>
        <w:gridCol w:w="2316"/>
        <w:gridCol w:w="2382"/>
        <w:gridCol w:w="3986"/>
      </w:tblGrid>
      <w:tr w:rsidR="00E55F51" w:rsidRPr="009B2DA6" w14:paraId="54DE7A01" w14:textId="77777777" w:rsidTr="00BA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2351C905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Column Header</w:t>
            </w:r>
          </w:p>
        </w:tc>
        <w:tc>
          <w:tcPr>
            <w:tcW w:w="250" w:type="pct"/>
          </w:tcPr>
          <w:p w14:paraId="13999C43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Derived Variable (Y/N)</w:t>
            </w:r>
          </w:p>
        </w:tc>
        <w:tc>
          <w:tcPr>
            <w:tcW w:w="370" w:type="pct"/>
          </w:tcPr>
          <w:p w14:paraId="070C68D8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DDM Table</w:t>
            </w:r>
          </w:p>
        </w:tc>
        <w:tc>
          <w:tcPr>
            <w:tcW w:w="336" w:type="pct"/>
          </w:tcPr>
          <w:p w14:paraId="021EEA48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DDM Data Source</w:t>
            </w:r>
          </w:p>
        </w:tc>
        <w:tc>
          <w:tcPr>
            <w:tcW w:w="805" w:type="pct"/>
          </w:tcPr>
          <w:p w14:paraId="770E8E64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Other DDM Filters</w:t>
            </w:r>
          </w:p>
        </w:tc>
        <w:tc>
          <w:tcPr>
            <w:tcW w:w="526" w:type="pct"/>
          </w:tcPr>
          <w:p w14:paraId="0479820D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DDM Variable</w:t>
            </w:r>
          </w:p>
        </w:tc>
        <w:tc>
          <w:tcPr>
            <w:tcW w:w="1687" w:type="pct"/>
          </w:tcPr>
          <w:p w14:paraId="447EF088" w14:textId="77777777" w:rsidR="00A615ED" w:rsidRPr="009B2DA6" w:rsidRDefault="00A615ED" w:rsidP="004E5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Notes</w:t>
            </w:r>
          </w:p>
        </w:tc>
      </w:tr>
      <w:tr w:rsidR="00E55F51" w:rsidRPr="009B2DA6" w14:paraId="20E024EC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75FB6814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DEIDENTIFIED_MASTER_PATIENT_ID</w:t>
            </w:r>
          </w:p>
        </w:tc>
        <w:tc>
          <w:tcPr>
            <w:tcW w:w="250" w:type="pct"/>
          </w:tcPr>
          <w:p w14:paraId="48D4C0CD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24F543ED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Demographics</w:t>
            </w:r>
          </w:p>
        </w:tc>
        <w:tc>
          <w:tcPr>
            <w:tcW w:w="336" w:type="pct"/>
          </w:tcPr>
          <w:p w14:paraId="703BB190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3D17D2AE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55FA304E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DEIDENTIFIED_MASTER_PATIENT_ID</w:t>
            </w:r>
          </w:p>
        </w:tc>
        <w:tc>
          <w:tcPr>
            <w:tcW w:w="1687" w:type="pct"/>
          </w:tcPr>
          <w:p w14:paraId="7A1C0B08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55F51" w:rsidRPr="009B2DA6" w14:paraId="36A07C02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5D4BFC4B" w14:textId="6EDF8ABA" w:rsidR="00007154" w:rsidRPr="00CF69EC" w:rsidRDefault="00007154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INDEX_DATE</w:t>
            </w:r>
          </w:p>
        </w:tc>
        <w:tc>
          <w:tcPr>
            <w:tcW w:w="250" w:type="pct"/>
          </w:tcPr>
          <w:p w14:paraId="471AB5D1" w14:textId="10D9EDC5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66BDF455" w14:textId="77777777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" w:type="pct"/>
          </w:tcPr>
          <w:p w14:paraId="20533FD1" w14:textId="77777777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pct"/>
          </w:tcPr>
          <w:p w14:paraId="34C3EDB9" w14:textId="77777777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5B839FE8" w14:textId="77777777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39A6EFB" w14:textId="6AF64E46" w:rsidR="00007154" w:rsidRPr="009B2DA6" w:rsidRDefault="00007154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date of interest specified by the user. </w:t>
            </w:r>
          </w:p>
        </w:tc>
      </w:tr>
      <w:tr w:rsidR="00E55F51" w:rsidRPr="009B2DA6" w14:paraId="203F988B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51F544AE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DATE_OF_CONSENT</w:t>
            </w:r>
          </w:p>
        </w:tc>
        <w:tc>
          <w:tcPr>
            <w:tcW w:w="250" w:type="pct"/>
          </w:tcPr>
          <w:p w14:paraId="4958A3F9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68975C59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Demographics</w:t>
            </w:r>
          </w:p>
        </w:tc>
        <w:tc>
          <w:tcPr>
            <w:tcW w:w="336" w:type="pct"/>
          </w:tcPr>
          <w:p w14:paraId="11BEBAD2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5D11C0C3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0D1CD4B5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DATE_OF_CONSENT</w:t>
            </w:r>
          </w:p>
        </w:tc>
        <w:tc>
          <w:tcPr>
            <w:tcW w:w="1687" w:type="pct"/>
          </w:tcPr>
          <w:p w14:paraId="2618CB65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55F51" w:rsidRPr="009B2DA6" w14:paraId="23748B22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42CBBE79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DATE_OF_CONSENT_WITHDRAWN</w:t>
            </w:r>
          </w:p>
        </w:tc>
        <w:tc>
          <w:tcPr>
            <w:tcW w:w="250" w:type="pct"/>
          </w:tcPr>
          <w:p w14:paraId="1D5707B8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2ECFD691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Demographics</w:t>
            </w:r>
          </w:p>
        </w:tc>
        <w:tc>
          <w:tcPr>
            <w:tcW w:w="336" w:type="pct"/>
          </w:tcPr>
          <w:p w14:paraId="76673F68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71F8649A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61385078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DATE_OF_CONSENT_WITHDRAWN</w:t>
            </w:r>
          </w:p>
        </w:tc>
        <w:tc>
          <w:tcPr>
            <w:tcW w:w="1687" w:type="pct"/>
          </w:tcPr>
          <w:p w14:paraId="4873F46B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55F51" w:rsidRPr="009B2DA6" w14:paraId="0DB0770B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1E67DA14" w14:textId="45E6CEC3" w:rsidR="00C8193B" w:rsidRPr="00CF69EC" w:rsidRDefault="00C8193B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BIRTH_YEAR</w:t>
            </w:r>
          </w:p>
        </w:tc>
        <w:tc>
          <w:tcPr>
            <w:tcW w:w="250" w:type="pct"/>
          </w:tcPr>
          <w:p w14:paraId="1125E3D8" w14:textId="23738F02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75A2A03F" w14:textId="234206C3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Demographics</w:t>
            </w:r>
          </w:p>
        </w:tc>
        <w:tc>
          <w:tcPr>
            <w:tcW w:w="336" w:type="pct"/>
          </w:tcPr>
          <w:p w14:paraId="7AEA755D" w14:textId="370A21CF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0FA560F5" w14:textId="77777777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56854755" w14:textId="1ABFDA2B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BIRTH_YEAR</w:t>
            </w:r>
          </w:p>
        </w:tc>
        <w:tc>
          <w:tcPr>
            <w:tcW w:w="1687" w:type="pct"/>
          </w:tcPr>
          <w:p w14:paraId="520E67C9" w14:textId="77777777" w:rsidR="00C8193B" w:rsidRPr="009B2DA6" w:rsidRDefault="00C8193B" w:rsidP="00C8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55F51" w:rsidRPr="009B2DA6" w14:paraId="08AC02F6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490A5E29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250" w:type="pct"/>
          </w:tcPr>
          <w:p w14:paraId="2DCB1753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634A891E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Demographics</w:t>
            </w:r>
          </w:p>
        </w:tc>
        <w:tc>
          <w:tcPr>
            <w:tcW w:w="336" w:type="pct"/>
          </w:tcPr>
          <w:p w14:paraId="3D7B260E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386FBEFA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31FE5922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687" w:type="pct"/>
          </w:tcPr>
          <w:p w14:paraId="05AE3ECD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55F51" w:rsidRPr="009B2DA6" w14:paraId="507D2F4E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5610818A" w14:textId="77777777" w:rsidR="00A615ED" w:rsidRPr="00CF69EC" w:rsidRDefault="00A615ED" w:rsidP="00BA4288">
            <w:pPr>
              <w:rPr>
                <w:rFonts w:cstheme="minorHAnsi"/>
                <w:sz w:val="20"/>
                <w:szCs w:val="20"/>
              </w:rPr>
            </w:pPr>
            <w:r w:rsidRPr="00CF69EC">
              <w:rPr>
                <w:rFonts w:cstheme="minorHAnsi"/>
                <w:sz w:val="20"/>
                <w:szCs w:val="20"/>
              </w:rPr>
              <w:t>DIAGNOSIS</w:t>
            </w:r>
          </w:p>
        </w:tc>
        <w:tc>
          <w:tcPr>
            <w:tcW w:w="250" w:type="pct"/>
          </w:tcPr>
          <w:p w14:paraId="52466C9D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70" w:type="pct"/>
          </w:tcPr>
          <w:p w14:paraId="72C1A8EF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Diagnosis</w:t>
            </w:r>
          </w:p>
        </w:tc>
        <w:tc>
          <w:tcPr>
            <w:tcW w:w="336" w:type="pct"/>
          </w:tcPr>
          <w:p w14:paraId="0A7ADA3B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 xml:space="preserve">SF_SPARC &gt; ECRF_SPARC  </w:t>
            </w:r>
          </w:p>
          <w:p w14:paraId="2612B139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pct"/>
          </w:tcPr>
          <w:p w14:paraId="36259C7E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 xml:space="preserve">DIAG_CONCEPT_NAME equals Crohn’s Disease, Ulcerative Colitis or IBD Unclassified. For SF only, </w:t>
            </w:r>
          </w:p>
          <w:p w14:paraId="5BF15DDF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9B2DA6">
              <w:rPr>
                <w:rFonts w:cstheme="minorHAnsi"/>
                <w:color w:val="000000"/>
                <w:sz w:val="20"/>
                <w:szCs w:val="20"/>
              </w:rPr>
              <w:t xml:space="preserve">DIAG_STATUS_CONCEPT_CODE equals Yes. </w:t>
            </w:r>
          </w:p>
        </w:tc>
        <w:tc>
          <w:tcPr>
            <w:tcW w:w="526" w:type="pct"/>
          </w:tcPr>
          <w:p w14:paraId="55AB1485" w14:textId="77777777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>DIAG_CONCEPT_NAME</w:t>
            </w:r>
          </w:p>
        </w:tc>
        <w:tc>
          <w:tcPr>
            <w:tcW w:w="1687" w:type="pct"/>
          </w:tcPr>
          <w:p w14:paraId="1F3F0A5C" w14:textId="4F2D99BC" w:rsidR="00A615ED" w:rsidRPr="009B2DA6" w:rsidRDefault="00A615ED" w:rsidP="004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B2DA6">
              <w:rPr>
                <w:rFonts w:cstheme="minorHAnsi"/>
                <w:sz w:val="20"/>
                <w:szCs w:val="20"/>
              </w:rPr>
              <w:t xml:space="preserve">Chose diagnosis reported closest to </w:t>
            </w:r>
            <w:r w:rsidR="000740DE">
              <w:rPr>
                <w:rFonts w:cstheme="minorHAnsi"/>
                <w:sz w:val="20"/>
                <w:szCs w:val="20"/>
              </w:rPr>
              <w:t>index</w:t>
            </w:r>
            <w:r w:rsidRPr="009B2DA6">
              <w:rPr>
                <w:rFonts w:cstheme="minorHAnsi"/>
                <w:sz w:val="20"/>
                <w:szCs w:val="20"/>
              </w:rPr>
              <w:t xml:space="preserve"> date from SF first, then ECRF. Use ECRF_QORUS if consented to both studies</w:t>
            </w:r>
            <w:r w:rsidR="00CE16CD">
              <w:rPr>
                <w:rFonts w:cstheme="minorHAnsi"/>
                <w:sz w:val="20"/>
                <w:szCs w:val="20"/>
              </w:rPr>
              <w:t>.</w:t>
            </w:r>
            <w:r w:rsidR="00C207A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A4288" w:rsidRPr="009B2DA6" w14:paraId="56D6480C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7D1BBB5A" w14:textId="6EEF8EBE" w:rsidR="009D1048" w:rsidRPr="009D1048" w:rsidRDefault="009D1048" w:rsidP="00BA4288">
            <w:pPr>
              <w:rPr>
                <w:rFonts w:cstheme="minorHAnsi"/>
                <w:sz w:val="20"/>
                <w:szCs w:val="20"/>
              </w:rPr>
            </w:pPr>
            <w:r w:rsidRPr="009D1048">
              <w:rPr>
                <w:rFonts w:ascii="Calibri" w:hAnsi="Calibri" w:cs="Calibri"/>
                <w:color w:val="000000"/>
              </w:rPr>
              <w:t>NO_IBD_MEDICATION_AT_ENROLLMENT</w:t>
            </w:r>
          </w:p>
        </w:tc>
        <w:tc>
          <w:tcPr>
            <w:tcW w:w="250" w:type="pct"/>
          </w:tcPr>
          <w:p w14:paraId="2BEF73EB" w14:textId="5E3C3B16" w:rsidR="009D1048" w:rsidRPr="009B2DA6" w:rsidRDefault="005E7A8A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1C3EBA8B" w14:textId="52A18022" w:rsidR="009D1048" w:rsidRPr="009B2DA6" w:rsidRDefault="0005525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336" w:type="pct"/>
          </w:tcPr>
          <w:p w14:paraId="2D871481" w14:textId="7E056E29" w:rsidR="009D1048" w:rsidRPr="009B2DA6" w:rsidRDefault="0005525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322A6092" w14:textId="76D969C3" w:rsidR="009D1048" w:rsidRPr="009B2DA6" w:rsidRDefault="002772F3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772F3">
              <w:rPr>
                <w:rFonts w:cstheme="minorHAnsi"/>
                <w:sz w:val="20"/>
                <w:szCs w:val="20"/>
              </w:rPr>
              <w:t>OBS_TEST_CONCEPT_NAME == "Are you currently taking any medication for your IBD?"</w:t>
            </w:r>
            <w:r>
              <w:rPr>
                <w:rFonts w:cstheme="minorHAnsi"/>
                <w:sz w:val="20"/>
                <w:szCs w:val="20"/>
              </w:rPr>
              <w:t xml:space="preserve"> &amp; </w:t>
            </w:r>
            <w:r w:rsidRPr="002772F3">
              <w:rPr>
                <w:rFonts w:cstheme="minorHAnsi"/>
                <w:sz w:val="20"/>
                <w:szCs w:val="20"/>
              </w:rPr>
              <w:t>DESCRIPTIVE_SYMP_TEST_RESULTS == "No"</w:t>
            </w:r>
          </w:p>
        </w:tc>
        <w:tc>
          <w:tcPr>
            <w:tcW w:w="526" w:type="pct"/>
          </w:tcPr>
          <w:p w14:paraId="1EC7945D" w14:textId="77777777" w:rsidR="009D1048" w:rsidRPr="009B2DA6" w:rsidRDefault="009D104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99366A9" w14:textId="542698AE" w:rsidR="009D1048" w:rsidRPr="009B2DA6" w:rsidRDefault="00D35382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= </w:t>
            </w:r>
            <w:r w:rsidR="006B0C35" w:rsidRPr="006B0C35">
              <w:rPr>
                <w:rFonts w:cstheme="minorHAnsi"/>
                <w:sz w:val="20"/>
                <w:szCs w:val="20"/>
              </w:rPr>
              <w:t>First Survey with Are you Currently Taking Any Medication = NO) Does not include antibiotics/probiotics</w:t>
            </w:r>
            <w:r w:rsidR="009B2CAA">
              <w:rPr>
                <w:rFonts w:cstheme="minorHAnsi"/>
                <w:sz w:val="20"/>
                <w:szCs w:val="20"/>
              </w:rPr>
              <w:t xml:space="preserve"> within </w:t>
            </w:r>
            <w:r w:rsidR="001D78B3">
              <w:rPr>
                <w:rFonts w:cstheme="minorHAnsi"/>
                <w:sz w:val="20"/>
                <w:szCs w:val="20"/>
              </w:rPr>
              <w:t>+/- index range of the date of consent</w:t>
            </w:r>
            <w:r w:rsidR="005D7913"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t xml:space="preserve"> 0 = </w:t>
            </w:r>
            <w:r w:rsidR="005D7913">
              <w:rPr>
                <w:rFonts w:cstheme="minorHAnsi"/>
                <w:sz w:val="20"/>
                <w:szCs w:val="20"/>
              </w:rPr>
              <w:t>Question not available or did not answer No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A4288" w:rsidRPr="009B2DA6" w14:paraId="53A8A891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6EAA2496" w14:textId="7743F286" w:rsidR="009D1048" w:rsidRPr="009D1048" w:rsidRDefault="009D1048" w:rsidP="00BA4288">
            <w:pPr>
              <w:rPr>
                <w:rFonts w:cstheme="minorHAnsi"/>
                <w:sz w:val="20"/>
                <w:szCs w:val="20"/>
              </w:rPr>
            </w:pPr>
            <w:r w:rsidRPr="009D1048">
              <w:rPr>
                <w:rFonts w:ascii="Calibri" w:hAnsi="Calibri" w:cs="Calibri"/>
                <w:color w:val="000000"/>
              </w:rPr>
              <w:t>NO_IBD_MEDICATION_AT_INDEX</w:t>
            </w:r>
          </w:p>
        </w:tc>
        <w:tc>
          <w:tcPr>
            <w:tcW w:w="250" w:type="pct"/>
          </w:tcPr>
          <w:p w14:paraId="104A766C" w14:textId="1ABA374F" w:rsidR="009D1048" w:rsidRPr="009B2DA6" w:rsidRDefault="00AB0C9A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13ADBE51" w14:textId="10834145" w:rsidR="009D1048" w:rsidRPr="009B2DA6" w:rsidRDefault="00BA2E9D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</w:t>
            </w:r>
          </w:p>
        </w:tc>
        <w:tc>
          <w:tcPr>
            <w:tcW w:w="336" w:type="pct"/>
          </w:tcPr>
          <w:p w14:paraId="0B6ADBEE" w14:textId="3322A168" w:rsidR="009D1048" w:rsidRPr="009B2DA6" w:rsidRDefault="00BA2E9D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ECRF_SPARC &amp; EMR</w:t>
            </w:r>
          </w:p>
        </w:tc>
        <w:tc>
          <w:tcPr>
            <w:tcW w:w="805" w:type="pct"/>
          </w:tcPr>
          <w:p w14:paraId="1D83FD46" w14:textId="40243433" w:rsidR="009D1048" w:rsidRPr="009B2DA6" w:rsidRDefault="00BA2E9D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XXX_</w:t>
            </w:r>
            <w:r w:rsidR="001E79D0">
              <w:rPr>
                <w:rFonts w:cstheme="minorHAnsi"/>
                <w:sz w:val="20"/>
                <w:szCs w:val="20"/>
              </w:rPr>
              <w:t>EMR</w:t>
            </w:r>
            <w:r w:rsidR="00FF65F2">
              <w:rPr>
                <w:rStyle w:val="FootnoteReference"/>
                <w:rFonts w:cstheme="minorHAnsi"/>
                <w:sz w:val="20"/>
                <w:szCs w:val="20"/>
              </w:rPr>
              <w:footnoteReference w:id="1"/>
            </w:r>
            <w:r w:rsidR="001E79D0">
              <w:rPr>
                <w:rFonts w:cstheme="minorHAnsi"/>
                <w:sz w:val="20"/>
                <w:szCs w:val="20"/>
              </w:rPr>
              <w:t xml:space="preserve"> and XXX_ECRF</w:t>
            </w:r>
            <w:r>
              <w:rPr>
                <w:rFonts w:cstheme="minorHAnsi"/>
                <w:sz w:val="20"/>
                <w:szCs w:val="20"/>
              </w:rPr>
              <w:t xml:space="preserve"> for </w:t>
            </w:r>
            <w:r w:rsidR="001E79D0">
              <w:rPr>
                <w:rFonts w:cstheme="minorHAnsi"/>
                <w:sz w:val="20"/>
                <w:szCs w:val="20"/>
              </w:rPr>
              <w:t xml:space="preserve">logic on determining is a participant was on a </w:t>
            </w:r>
            <w:r w:rsidR="001E79D0">
              <w:rPr>
                <w:rFonts w:cstheme="minorHAnsi"/>
                <w:sz w:val="20"/>
                <w:szCs w:val="20"/>
              </w:rPr>
              <w:lastRenderedPageBreak/>
              <w:t xml:space="preserve">medication at the index date </w:t>
            </w:r>
            <w:r w:rsidR="006E4C3B">
              <w:rPr>
                <w:rFonts w:cstheme="minorHAnsi"/>
                <w:sz w:val="20"/>
                <w:szCs w:val="20"/>
              </w:rPr>
              <w:t>for each source respectively</w:t>
            </w:r>
          </w:p>
        </w:tc>
        <w:tc>
          <w:tcPr>
            <w:tcW w:w="526" w:type="pct"/>
          </w:tcPr>
          <w:p w14:paraId="6B9828AA" w14:textId="77777777" w:rsidR="009D1048" w:rsidRPr="009B2DA6" w:rsidRDefault="009D104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475CF17A" w14:textId="5B54DD2F" w:rsidR="009D1048" w:rsidRPr="009B2DA6" w:rsidRDefault="00AB0C9A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no medications are found at the index date +/- index range, then this is 1</w:t>
            </w:r>
          </w:p>
        </w:tc>
      </w:tr>
      <w:tr w:rsidR="00BA4288" w:rsidRPr="009B2DA6" w14:paraId="5B3D8700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085794F3" w14:textId="04BC0747" w:rsidR="009D1048" w:rsidRPr="009D1048" w:rsidRDefault="009D1048" w:rsidP="00BA4288">
            <w:pPr>
              <w:rPr>
                <w:rFonts w:cstheme="minorHAnsi"/>
                <w:sz w:val="20"/>
                <w:szCs w:val="20"/>
              </w:rPr>
            </w:pPr>
            <w:r w:rsidRPr="009D1048">
              <w:rPr>
                <w:rFonts w:ascii="Calibri" w:hAnsi="Calibri" w:cs="Calibri"/>
                <w:color w:val="000000"/>
              </w:rPr>
              <w:t>BIOLOGIC_AT_INDEX_CONFIDENCE</w:t>
            </w:r>
          </w:p>
        </w:tc>
        <w:tc>
          <w:tcPr>
            <w:tcW w:w="250" w:type="pct"/>
          </w:tcPr>
          <w:p w14:paraId="22F9F2B0" w14:textId="7DDD2F61" w:rsidR="009D1048" w:rsidRPr="009B2DA6" w:rsidRDefault="00EB16ED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69E01D8E" w14:textId="74A831CC" w:rsidR="009D1048" w:rsidRPr="009B2DA6" w:rsidRDefault="006E4C3B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</w:t>
            </w:r>
          </w:p>
        </w:tc>
        <w:tc>
          <w:tcPr>
            <w:tcW w:w="336" w:type="pct"/>
          </w:tcPr>
          <w:p w14:paraId="55DAC5B3" w14:textId="122ED14E" w:rsidR="009D1048" w:rsidRPr="009B2DA6" w:rsidRDefault="006E4C3B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ECRF_SPARC &amp; EMR</w:t>
            </w:r>
          </w:p>
        </w:tc>
        <w:tc>
          <w:tcPr>
            <w:tcW w:w="805" w:type="pct"/>
          </w:tcPr>
          <w:p w14:paraId="44DF3A32" w14:textId="77777777" w:rsidR="009D1048" w:rsidRPr="009B2DA6" w:rsidRDefault="009D104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42C865A8" w14:textId="77777777" w:rsidR="009D1048" w:rsidRPr="009B2DA6" w:rsidRDefault="009D1048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1EB25B94" w14:textId="33BEBD86" w:rsidR="009D1048" w:rsidRDefault="00F82BBA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Rank of confidence in choice of Biologic at index date. The lowest score (</w:t>
            </w:r>
            <w:r w:rsidR="009058BF">
              <w:rPr>
                <w:rFonts w:cstheme="minorHAnsi"/>
                <w:sz w:val="20"/>
                <w:szCs w:val="20"/>
              </w:rPr>
              <w:t xml:space="preserve">green) </w:t>
            </w:r>
            <w:r w:rsidR="00E55F51">
              <w:rPr>
                <w:rFonts w:cstheme="minorHAnsi"/>
                <w:sz w:val="20"/>
                <w:szCs w:val="20"/>
              </w:rPr>
              <w:t xml:space="preserve">indicates high confidence in the </w:t>
            </w:r>
            <w:r w:rsidR="00921CE6">
              <w:rPr>
                <w:rFonts w:cstheme="minorHAnsi"/>
                <w:sz w:val="20"/>
                <w:szCs w:val="20"/>
              </w:rPr>
              <w:t>choice</w:t>
            </w:r>
            <w:r w:rsidR="00E55F51">
              <w:rPr>
                <w:rFonts w:cstheme="minorHAnsi"/>
                <w:sz w:val="20"/>
                <w:szCs w:val="20"/>
              </w:rPr>
              <w:t xml:space="preserve">, while a higher score (orange) indicates less confidence. </w:t>
            </w:r>
            <w:r w:rsidR="009058BF">
              <w:rPr>
                <w:rFonts w:cstheme="minorHAnsi"/>
                <w:sz w:val="20"/>
                <w:szCs w:val="20"/>
              </w:rPr>
              <w:t xml:space="preserve"> </w:t>
            </w:r>
          </w:p>
          <w:tbl>
            <w:tblPr>
              <w:tblW w:w="5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3179"/>
            </w:tblGrid>
            <w:tr w:rsidR="00BA4288" w:rsidRPr="00BA4288" w14:paraId="7C185180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21DF77EC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Rank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150857AD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Logic </w:t>
                  </w:r>
                </w:p>
              </w:tc>
            </w:tr>
            <w:tr w:rsidR="00BA4288" w:rsidRPr="00BA4288" w14:paraId="4AAAB7FB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4BFB8A8B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0BFED7D5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and ECRF_SPARC agree that patient on medication at index </w:t>
                  </w:r>
                </w:p>
              </w:tc>
            </w:tr>
            <w:tr w:rsidR="00BA4288" w:rsidRPr="00BA4288" w14:paraId="4DC31FCF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1260FB77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2D9BD18F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ECRF_SPARC says on medication or possibly on medication and no EMR information for this medication </w:t>
                  </w:r>
                </w:p>
              </w:tc>
            </w:tr>
            <w:tr w:rsidR="00BA4288" w:rsidRPr="00BA4288" w14:paraId="3B415AC5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51A81F44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39C45017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says on medication or possibly on medication and no ECRF_SPARC information for this medication </w:t>
                  </w:r>
                </w:p>
              </w:tc>
            </w:tr>
            <w:tr w:rsidR="00BA4288" w:rsidRPr="00BA4288" w14:paraId="250724BA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55441E4B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314AFE36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and ECRF_SPARC both agree that Possibly on Medication (Index &lt;</w:t>
                  </w:r>
                </w:p>
              </w:tc>
            </w:tr>
            <w:tr w:rsidR="00BA4288" w:rsidRPr="00BA4288" w14:paraId="2B8D6632" w14:textId="77777777" w:rsidTr="00E14AE9">
              <w:trPr>
                <w:trHeight w:val="1295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1E18B582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6110E6D4" w14:textId="77777777" w:rsidR="00E14AE9" w:rsidRDefault="00BA4288" w:rsidP="00E14AE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and ECRF_SPARC both agree that </w:t>
                  </w:r>
                  <w:r w:rsidR="00E14AE9">
                    <w:rPr>
                      <w:rFonts w:eastAsia="Times New Roman"/>
                    </w:rPr>
                    <w:t>individual  "Possibly on Medication (Index Performed &lt;= 12 Months After Last Reported Medication)" or "Possibly on Medication (Index Performed &gt; 1 Year After Last Reported Medication)" or "Possibly on Medication (Index Performed &lt;= 6 Months After Last Reported Medication)"</w:t>
                  </w:r>
                </w:p>
                <w:p w14:paraId="34F81013" w14:textId="607444E8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BA4288" w:rsidRPr="00BA4288" w14:paraId="001BDC10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6A9655F7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6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246CE1B6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says possibly on medication and ECRF_SPARC says yes on medication </w:t>
                  </w:r>
                </w:p>
              </w:tc>
            </w:tr>
            <w:tr w:rsidR="00BA4288" w:rsidRPr="00BA4288" w14:paraId="0DB34057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47D5F63A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7653F38C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says yes on medication and ECRF_SPARC says possibly on medication </w:t>
                  </w:r>
                </w:p>
              </w:tc>
            </w:tr>
            <w:tr w:rsidR="00BA4288" w:rsidRPr="00BA4288" w14:paraId="0D9ED141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30B81476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20F5B7F4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says not on medication but ECRF_SPARC says yes or possibly on medication </w:t>
                  </w:r>
                </w:p>
              </w:tc>
            </w:tr>
            <w:tr w:rsidR="00BA4288" w:rsidRPr="00BA4288" w14:paraId="2B743842" w14:textId="77777777" w:rsidTr="00BA4288">
              <w:trPr>
                <w:trHeight w:val="300"/>
              </w:trPr>
              <w:tc>
                <w:tcPr>
                  <w:tcW w:w="718" w:type="dxa"/>
                  <w:shd w:val="clear" w:color="auto" w:fill="auto"/>
                  <w:noWrap/>
                  <w:vAlign w:val="bottom"/>
                  <w:hideMark/>
                </w:tcPr>
                <w:p w14:paraId="20CE5447" w14:textId="77777777" w:rsidR="00BA4288" w:rsidRPr="00BA4288" w:rsidRDefault="00BA4288" w:rsidP="00BA42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90" w:type="dxa"/>
                  <w:shd w:val="clear" w:color="auto" w:fill="auto"/>
                  <w:noWrap/>
                  <w:vAlign w:val="bottom"/>
                  <w:hideMark/>
                </w:tcPr>
                <w:p w14:paraId="2683DAF9" w14:textId="77777777" w:rsidR="00BA4288" w:rsidRPr="00BA4288" w:rsidRDefault="00BA4288" w:rsidP="00BA42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4288">
                    <w:rPr>
                      <w:rFonts w:ascii="Calibri" w:eastAsia="Times New Roman" w:hAnsi="Calibri" w:cs="Calibri"/>
                      <w:color w:val="000000"/>
                    </w:rPr>
                    <w:t xml:space="preserve"> EMR says yes or possibly on medication but ECRF_SPARC says no </w:t>
                  </w:r>
                </w:p>
              </w:tc>
            </w:tr>
          </w:tbl>
          <w:p w14:paraId="1CF0C18A" w14:textId="7333A0F2" w:rsidR="00E55F51" w:rsidRPr="009B2DA6" w:rsidRDefault="00E55F51" w:rsidP="009D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A4288" w:rsidRPr="009B2DA6" w14:paraId="436B8DE4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6270E9DC" w14:textId="3C6FE75D" w:rsidR="00F82BBA" w:rsidRPr="009D1048" w:rsidRDefault="00F82BBA" w:rsidP="00BA4288">
            <w:pPr>
              <w:rPr>
                <w:rFonts w:cstheme="minorHAnsi"/>
                <w:sz w:val="20"/>
                <w:szCs w:val="20"/>
              </w:rPr>
            </w:pPr>
            <w:r w:rsidRPr="009D1048">
              <w:rPr>
                <w:rFonts w:ascii="Calibri" w:hAnsi="Calibri" w:cs="Calibri"/>
                <w:color w:val="000000"/>
              </w:rPr>
              <w:lastRenderedPageBreak/>
              <w:t>BIOLOGIC_AT_INDEX</w:t>
            </w:r>
          </w:p>
        </w:tc>
        <w:tc>
          <w:tcPr>
            <w:tcW w:w="250" w:type="pct"/>
          </w:tcPr>
          <w:p w14:paraId="20C8751D" w14:textId="30E93684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4541AB5B" w14:textId="074A5629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</w:t>
            </w:r>
          </w:p>
        </w:tc>
        <w:tc>
          <w:tcPr>
            <w:tcW w:w="336" w:type="pct"/>
          </w:tcPr>
          <w:p w14:paraId="0357A964" w14:textId="6B5CADD6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ECRF_SPARC &amp; EMR</w:t>
            </w:r>
          </w:p>
        </w:tc>
        <w:tc>
          <w:tcPr>
            <w:tcW w:w="805" w:type="pct"/>
          </w:tcPr>
          <w:p w14:paraId="550A00F2" w14:textId="44F597AF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XXX_EMR and XXX_ECRF for logic on determining is a participant was on a medication at the index date for each source respectively</w:t>
            </w:r>
          </w:p>
        </w:tc>
        <w:tc>
          <w:tcPr>
            <w:tcW w:w="526" w:type="pct"/>
          </w:tcPr>
          <w:p w14:paraId="7BD336C7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70E95B96" w14:textId="155B79DE" w:rsidR="00F82BBA" w:rsidRPr="009B2DA6" w:rsidRDefault="006D561B" w:rsidP="00614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biologic that the patient is predicted to be on at the index date. </w:t>
            </w:r>
            <w:r w:rsidR="00F82BBA" w:rsidRPr="00256611">
              <w:rPr>
                <w:rFonts w:cstheme="minorHAnsi"/>
                <w:sz w:val="20"/>
                <w:szCs w:val="20"/>
              </w:rPr>
              <w:t xml:space="preserve">For EMR, if two biologics reported at the same time, chose the most recently </w:t>
            </w:r>
            <w:r w:rsidR="00DC5C94" w:rsidRPr="00256611">
              <w:rPr>
                <w:rFonts w:cstheme="minorHAnsi"/>
                <w:sz w:val="20"/>
                <w:szCs w:val="20"/>
              </w:rPr>
              <w:t>prescribed</w:t>
            </w:r>
            <w:r w:rsidR="00DC5C94">
              <w:rPr>
                <w:rFonts w:cstheme="minorHAnsi"/>
                <w:sz w:val="20"/>
                <w:szCs w:val="20"/>
              </w:rPr>
              <w:t>.</w:t>
            </w:r>
            <w:r w:rsidR="00DC5C94" w:rsidRPr="00256611">
              <w:rPr>
                <w:rFonts w:cstheme="minorHAnsi"/>
                <w:sz w:val="20"/>
                <w:szCs w:val="20"/>
              </w:rPr>
              <w:t xml:space="preserve"> For</w:t>
            </w:r>
            <w:r w:rsidR="00F82BBA" w:rsidRPr="00256611">
              <w:rPr>
                <w:rFonts w:cstheme="minorHAnsi"/>
                <w:sz w:val="20"/>
                <w:szCs w:val="20"/>
              </w:rPr>
              <w:t xml:space="preserve"> ECRF, if two biologics reported at the same time, chose the most recently reported</w:t>
            </w:r>
          </w:p>
        </w:tc>
      </w:tr>
      <w:tr w:rsidR="00BA4288" w:rsidRPr="009B2DA6" w14:paraId="23BF5658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102F3C2C" w14:textId="0C9F5B6B" w:rsidR="00F82BBA" w:rsidRPr="009D1048" w:rsidRDefault="00B7248C" w:rsidP="00BA42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XXX_ECRF</w:t>
            </w:r>
          </w:p>
        </w:tc>
        <w:tc>
          <w:tcPr>
            <w:tcW w:w="250" w:type="pct"/>
          </w:tcPr>
          <w:p w14:paraId="7F241D60" w14:textId="5882D696" w:rsidR="00F82BBA" w:rsidRPr="009B2DA6" w:rsidRDefault="00B7248C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2787F153" w14:textId="6770FF67" w:rsidR="00F82BBA" w:rsidRPr="009B2DA6" w:rsidRDefault="00B7248C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Prescriptions</w:t>
            </w:r>
            <w:r w:rsidR="00A14CF4">
              <w:rPr>
                <w:rFonts w:cstheme="minorHAnsi"/>
                <w:sz w:val="20"/>
                <w:szCs w:val="20"/>
              </w:rPr>
              <w:t>; Observations</w:t>
            </w:r>
          </w:p>
        </w:tc>
        <w:tc>
          <w:tcPr>
            <w:tcW w:w="336" w:type="pct"/>
          </w:tcPr>
          <w:p w14:paraId="2541C3F6" w14:textId="734B4977" w:rsidR="00F82BBA" w:rsidRPr="009B2DA6" w:rsidRDefault="00B7248C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ECRF_SPARC</w:t>
            </w:r>
          </w:p>
        </w:tc>
        <w:tc>
          <w:tcPr>
            <w:tcW w:w="805" w:type="pct"/>
          </w:tcPr>
          <w:p w14:paraId="670780CB" w14:textId="20AD6C88" w:rsidR="00F82BBA" w:rsidRPr="009B2DA6" w:rsidRDefault="00EE50C0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the observation table, </w:t>
            </w:r>
            <w:r w:rsidRPr="00EE50C0">
              <w:rPr>
                <w:rFonts w:cstheme="minorHAnsi"/>
                <w:sz w:val="20"/>
                <w:szCs w:val="20"/>
              </w:rPr>
              <w:t>OBS_TEST_CONCEPT_</w:t>
            </w:r>
            <w:r w:rsidR="00DC5C94" w:rsidRPr="00EE50C0">
              <w:rPr>
                <w:rFonts w:cstheme="minorHAnsi"/>
                <w:sz w:val="20"/>
                <w:szCs w:val="20"/>
              </w:rPr>
              <w:t xml:space="preserve">NAME </w:t>
            </w:r>
            <w:r w:rsidR="00DC5C94">
              <w:rPr>
                <w:rFonts w:cstheme="minorHAnsi"/>
                <w:sz w:val="20"/>
                <w:szCs w:val="20"/>
              </w:rPr>
              <w:t>equals</w:t>
            </w:r>
            <w:r w:rsidRPr="00EE50C0">
              <w:rPr>
                <w:rFonts w:cstheme="minorHAnsi"/>
                <w:sz w:val="20"/>
                <w:szCs w:val="20"/>
              </w:rPr>
              <w:t xml:space="preserve"> "In the last 90 days, have you had any changes in your Medication(s)?"</w:t>
            </w:r>
            <w:r w:rsidR="008E3A7B">
              <w:rPr>
                <w:rFonts w:cstheme="minorHAnsi"/>
                <w:sz w:val="20"/>
                <w:szCs w:val="20"/>
              </w:rPr>
              <w:t xml:space="preserve"> &amp; </w:t>
            </w:r>
            <w:r w:rsidR="008E3A7B" w:rsidRPr="008E3A7B">
              <w:rPr>
                <w:rFonts w:cstheme="minorHAnsi"/>
                <w:sz w:val="20"/>
                <w:szCs w:val="20"/>
              </w:rPr>
              <w:t>DESCRIPTIVE_SYMP_TEST_RESULTS == "No"</w:t>
            </w:r>
          </w:p>
        </w:tc>
        <w:tc>
          <w:tcPr>
            <w:tcW w:w="526" w:type="pct"/>
          </w:tcPr>
          <w:p w14:paraId="25E4D014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8FFE9B3" w14:textId="416C9A5D" w:rsidR="00F82BBA" w:rsidRDefault="00A14CF4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status of the medication using the ECRF source. If a patient reported no changes to medication in </w:t>
            </w:r>
            <w:r w:rsidR="00EE50C0">
              <w:rPr>
                <w:rFonts w:cstheme="minorHAnsi"/>
                <w:sz w:val="20"/>
                <w:szCs w:val="20"/>
              </w:rPr>
              <w:t>the past 90 days</w:t>
            </w:r>
            <w:r w:rsidR="008E3A7B">
              <w:rPr>
                <w:rFonts w:cstheme="minorHAnsi"/>
                <w:sz w:val="20"/>
                <w:szCs w:val="20"/>
              </w:rPr>
              <w:t>, then the previous</w:t>
            </w:r>
            <w:r w:rsidR="00F86F4B">
              <w:rPr>
                <w:rFonts w:cstheme="minorHAnsi"/>
                <w:sz w:val="20"/>
                <w:szCs w:val="20"/>
              </w:rPr>
              <w:t>ly entered medication data</w:t>
            </w:r>
            <w:r w:rsidR="008E3A7B">
              <w:rPr>
                <w:rFonts w:cstheme="minorHAnsi"/>
                <w:sz w:val="20"/>
                <w:szCs w:val="20"/>
              </w:rPr>
              <w:t xml:space="preserve"> can be pulled forward</w:t>
            </w:r>
            <w:r w:rsidR="00F86F4B">
              <w:rPr>
                <w:rFonts w:cstheme="minorHAnsi"/>
                <w:sz w:val="20"/>
                <w:szCs w:val="20"/>
              </w:rPr>
              <w:t xml:space="preserve"> to that survey encounter. </w:t>
            </w:r>
            <w:r w:rsidR="00412351">
              <w:rPr>
                <w:rFonts w:cstheme="minorHAnsi"/>
                <w:sz w:val="20"/>
                <w:szCs w:val="20"/>
              </w:rPr>
              <w:t xml:space="preserve">This column reflects if the index date is </w:t>
            </w:r>
            <w:r w:rsidR="000C72E7">
              <w:rPr>
                <w:rFonts w:cstheme="minorHAnsi"/>
                <w:sz w:val="20"/>
                <w:szCs w:val="20"/>
              </w:rPr>
              <w:t xml:space="preserve">within the </w:t>
            </w:r>
            <w:r w:rsidR="00F03375">
              <w:rPr>
                <w:rFonts w:cstheme="minorHAnsi"/>
                <w:sz w:val="20"/>
                <w:szCs w:val="20"/>
              </w:rPr>
              <w:t>MED_START_DATE and MED_END_</w:t>
            </w:r>
            <w:r w:rsidR="00DC5C94">
              <w:rPr>
                <w:rFonts w:cstheme="minorHAnsi"/>
                <w:sz w:val="20"/>
                <w:szCs w:val="20"/>
              </w:rPr>
              <w:t>DATE before</w:t>
            </w:r>
            <w:r w:rsidR="000C72E7">
              <w:rPr>
                <w:rFonts w:cstheme="minorHAnsi"/>
                <w:sz w:val="20"/>
                <w:szCs w:val="20"/>
              </w:rPr>
              <w:t xml:space="preserve"> the MED_START_DATE or after the MED_END_DATE. </w:t>
            </w:r>
            <w:r w:rsidR="00A349E2">
              <w:rPr>
                <w:rFonts w:cstheme="minorHAnsi"/>
                <w:sz w:val="20"/>
                <w:szCs w:val="20"/>
              </w:rPr>
              <w:t xml:space="preserve">For </w:t>
            </w:r>
            <w:r w:rsidR="0079652D">
              <w:rPr>
                <w:rFonts w:cstheme="minorHAnsi"/>
                <w:sz w:val="20"/>
                <w:szCs w:val="20"/>
              </w:rPr>
              <w:t xml:space="preserve">the “Possibly” categories, </w:t>
            </w:r>
            <w:r w:rsidR="00A349E2">
              <w:rPr>
                <w:rFonts w:cstheme="minorHAnsi"/>
                <w:sz w:val="20"/>
                <w:szCs w:val="20"/>
              </w:rPr>
              <w:t>the time between patient reported being on the medication and the index date is captured</w:t>
            </w:r>
            <w:r w:rsidR="00E63BD8">
              <w:rPr>
                <w:rFonts w:cstheme="minorHAnsi"/>
                <w:sz w:val="20"/>
                <w:szCs w:val="20"/>
              </w:rPr>
              <w:t xml:space="preserve"> in the following groups (&lt;=3 months, &lt;= 6 months, &lt;= 12 months &amp; &gt; 1 year)</w:t>
            </w:r>
            <w:r w:rsidR="00A349E2">
              <w:rPr>
                <w:rFonts w:cstheme="minorHAnsi"/>
                <w:sz w:val="20"/>
                <w:szCs w:val="20"/>
              </w:rPr>
              <w:t>.</w:t>
            </w:r>
          </w:p>
          <w:p w14:paraId="560F4B0F" w14:textId="50D2186B" w:rsidR="00F86F4B" w:rsidRPr="009B2DA6" w:rsidRDefault="00F86F4B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A4288" w:rsidRPr="009B2DA6" w14:paraId="5929479B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7E6023EA" w14:textId="16E359F9" w:rsidR="00F82BBA" w:rsidRPr="00CF69EC" w:rsidRDefault="007728C4" w:rsidP="00BA42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XXX_EMR</w:t>
            </w:r>
          </w:p>
        </w:tc>
        <w:tc>
          <w:tcPr>
            <w:tcW w:w="250" w:type="pct"/>
          </w:tcPr>
          <w:p w14:paraId="494EBFD1" w14:textId="2AFF5E7B" w:rsidR="00F82BBA" w:rsidRPr="009B2DA6" w:rsidRDefault="007728C4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6D219FD9" w14:textId="5B447551" w:rsidR="00F82BBA" w:rsidRPr="009B2DA6" w:rsidRDefault="007728C4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Prescriptions</w:t>
            </w:r>
          </w:p>
        </w:tc>
        <w:tc>
          <w:tcPr>
            <w:tcW w:w="336" w:type="pct"/>
          </w:tcPr>
          <w:p w14:paraId="3DFE2964" w14:textId="21704294" w:rsidR="00F82BBA" w:rsidRPr="009B2DA6" w:rsidRDefault="007728C4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EMR</w:t>
            </w:r>
          </w:p>
        </w:tc>
        <w:tc>
          <w:tcPr>
            <w:tcW w:w="805" w:type="pct"/>
          </w:tcPr>
          <w:p w14:paraId="5A86A7FC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7AE75366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17775CA1" w14:textId="6A413637" w:rsidR="00F82BBA" w:rsidRPr="009B2DA6" w:rsidRDefault="005F5087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status of the medication using the EMR source. For each medication, the most recently prescribed was picked. </w:t>
            </w:r>
          </w:p>
        </w:tc>
      </w:tr>
      <w:tr w:rsidR="00BA4288" w:rsidRPr="009B2DA6" w14:paraId="2D23466C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1FACEB37" w14:textId="1424373F" w:rsidR="00F82BBA" w:rsidRPr="00CF69EC" w:rsidRDefault="001E19D3" w:rsidP="00BA42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XXX_STATUS</w:t>
            </w:r>
          </w:p>
        </w:tc>
        <w:tc>
          <w:tcPr>
            <w:tcW w:w="250" w:type="pct"/>
          </w:tcPr>
          <w:p w14:paraId="47C851A8" w14:textId="5938A006" w:rsidR="00F82BBA" w:rsidRPr="009B2DA6" w:rsidRDefault="00893A76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6AF1681B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" w:type="pct"/>
          </w:tcPr>
          <w:p w14:paraId="4A33B7FD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pct"/>
          </w:tcPr>
          <w:p w14:paraId="3D263934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7E6D66FD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6537FE2" w14:textId="6E1EBAC4" w:rsidR="0091111B" w:rsidRPr="0091111B" w:rsidRDefault="0091111B" w:rsidP="009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1111B">
              <w:rPr>
                <w:rFonts w:cstheme="minorHAnsi"/>
                <w:sz w:val="20"/>
                <w:szCs w:val="20"/>
              </w:rPr>
              <w:t xml:space="preserve">Summary based on both sources </w:t>
            </w:r>
          </w:p>
          <w:p w14:paraId="4C5DB3FA" w14:textId="2DDC423D" w:rsidR="0091111B" w:rsidRPr="0091111B" w:rsidRDefault="0091111B" w:rsidP="009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1111B">
              <w:rPr>
                <w:rFonts w:cstheme="minorHAnsi"/>
                <w:sz w:val="20"/>
                <w:szCs w:val="20"/>
              </w:rPr>
              <w:t xml:space="preserve">Yes = patient on medication </w:t>
            </w:r>
          </w:p>
          <w:p w14:paraId="41CE6479" w14:textId="75E5E6FD" w:rsidR="0091111B" w:rsidRPr="0091111B" w:rsidRDefault="0091111B" w:rsidP="009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1111B">
              <w:rPr>
                <w:rFonts w:cstheme="minorHAnsi"/>
                <w:sz w:val="20"/>
                <w:szCs w:val="20"/>
              </w:rPr>
              <w:t xml:space="preserve">Possible = patient possibly on medication </w:t>
            </w:r>
          </w:p>
          <w:p w14:paraId="25F149F4" w14:textId="4D8AA5B5" w:rsidR="0091111B" w:rsidRPr="0091111B" w:rsidRDefault="0091111B" w:rsidP="009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1111B">
              <w:rPr>
                <w:rFonts w:cstheme="minorHAnsi"/>
                <w:sz w:val="20"/>
                <w:szCs w:val="20"/>
              </w:rPr>
              <w:t xml:space="preserve">Contradicts = </w:t>
            </w:r>
            <w:r>
              <w:rPr>
                <w:rFonts w:cstheme="minorHAnsi"/>
                <w:sz w:val="20"/>
                <w:szCs w:val="20"/>
              </w:rPr>
              <w:t>ECRF_SPARC</w:t>
            </w:r>
            <w:r w:rsidRPr="0091111B">
              <w:rPr>
                <w:rFonts w:cstheme="minorHAnsi"/>
                <w:sz w:val="20"/>
                <w:szCs w:val="20"/>
              </w:rPr>
              <w:t xml:space="preserve"> and </w:t>
            </w:r>
            <w:r>
              <w:rPr>
                <w:rFonts w:cstheme="minorHAnsi"/>
                <w:sz w:val="20"/>
                <w:szCs w:val="20"/>
              </w:rPr>
              <w:t>EMR</w:t>
            </w:r>
            <w:r w:rsidRPr="0091111B">
              <w:rPr>
                <w:rFonts w:cstheme="minorHAnsi"/>
                <w:sz w:val="20"/>
                <w:szCs w:val="20"/>
              </w:rPr>
              <w:t xml:space="preserve"> sources disagree </w:t>
            </w:r>
          </w:p>
          <w:p w14:paraId="4614F5B7" w14:textId="6F0C5FC4" w:rsidR="00F82BBA" w:rsidRPr="009B2DA6" w:rsidRDefault="0091111B" w:rsidP="009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1111B">
              <w:rPr>
                <w:rFonts w:cstheme="minorHAnsi"/>
                <w:sz w:val="20"/>
                <w:szCs w:val="20"/>
              </w:rPr>
              <w:t>No = patient not on medication</w:t>
            </w:r>
          </w:p>
        </w:tc>
      </w:tr>
      <w:tr w:rsidR="00BA4288" w:rsidRPr="009B2DA6" w14:paraId="2A91E94B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3D516803" w14:textId="4F6B0F59" w:rsidR="00F82BBA" w:rsidRPr="00CF69EC" w:rsidRDefault="00893A76" w:rsidP="00BA42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XXX_LOADING_DATE_ECRF</w:t>
            </w:r>
          </w:p>
        </w:tc>
        <w:tc>
          <w:tcPr>
            <w:tcW w:w="250" w:type="pct"/>
          </w:tcPr>
          <w:p w14:paraId="77101F91" w14:textId="6C5FE616" w:rsidR="00F82BBA" w:rsidRPr="009B2DA6" w:rsidRDefault="00893A76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4097EDC5" w14:textId="18E6DF20" w:rsidR="00F82BBA" w:rsidRPr="009B2DA6" w:rsidRDefault="00893A76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Prescriptions</w:t>
            </w:r>
          </w:p>
        </w:tc>
        <w:tc>
          <w:tcPr>
            <w:tcW w:w="336" w:type="pct"/>
          </w:tcPr>
          <w:p w14:paraId="1F896E38" w14:textId="3006C48F" w:rsidR="00F82BBA" w:rsidRPr="009B2DA6" w:rsidRDefault="00893A76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ECRF</w:t>
            </w:r>
          </w:p>
        </w:tc>
        <w:tc>
          <w:tcPr>
            <w:tcW w:w="805" w:type="pct"/>
          </w:tcPr>
          <w:p w14:paraId="7656110A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5ED89D66" w14:textId="5C189594" w:rsidR="00F82BBA" w:rsidRPr="009B2DA6" w:rsidRDefault="00134482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MED_START_DATE</w:t>
            </w:r>
          </w:p>
        </w:tc>
        <w:tc>
          <w:tcPr>
            <w:tcW w:w="1687" w:type="pct"/>
          </w:tcPr>
          <w:p w14:paraId="371B3A22" w14:textId="216A1A2F" w:rsidR="00F82BBA" w:rsidRPr="009B2DA6" w:rsidRDefault="00134482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biologics only, </w:t>
            </w:r>
            <w:r w:rsidR="00A27CEA">
              <w:rPr>
                <w:rFonts w:cstheme="minorHAnsi"/>
                <w:sz w:val="20"/>
                <w:szCs w:val="20"/>
              </w:rPr>
              <w:t>the first date the medication was reported in the ECRF</w:t>
            </w:r>
          </w:p>
        </w:tc>
      </w:tr>
      <w:tr w:rsidR="00BA4288" w:rsidRPr="009B2DA6" w14:paraId="1A67A4C1" w14:textId="77777777" w:rsidTr="00BA4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vAlign w:val="center"/>
          </w:tcPr>
          <w:p w14:paraId="3AAFABE7" w14:textId="5485FF92" w:rsidR="00F82BBA" w:rsidRPr="00CF69EC" w:rsidRDefault="00A27CEA" w:rsidP="00BA42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XXX_LOADING_DATE_EMR</w:t>
            </w:r>
          </w:p>
        </w:tc>
        <w:tc>
          <w:tcPr>
            <w:tcW w:w="250" w:type="pct"/>
          </w:tcPr>
          <w:p w14:paraId="0062859A" w14:textId="33AA6D2A" w:rsidR="00F82BBA" w:rsidRPr="009B2DA6" w:rsidRDefault="00A27CE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370" w:type="pct"/>
          </w:tcPr>
          <w:p w14:paraId="5EAC1FC3" w14:textId="2055C5F5" w:rsidR="00F82BBA" w:rsidRPr="009B2DA6" w:rsidRDefault="00A27CE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Prescriptions</w:t>
            </w:r>
          </w:p>
        </w:tc>
        <w:tc>
          <w:tcPr>
            <w:tcW w:w="336" w:type="pct"/>
          </w:tcPr>
          <w:p w14:paraId="0C4B6C3D" w14:textId="08023F17" w:rsidR="00F82BBA" w:rsidRPr="009B2DA6" w:rsidRDefault="00A27CE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EMR</w:t>
            </w:r>
          </w:p>
        </w:tc>
        <w:tc>
          <w:tcPr>
            <w:tcW w:w="805" w:type="pct"/>
          </w:tcPr>
          <w:p w14:paraId="44840D58" w14:textId="77777777" w:rsidR="00F82BBA" w:rsidRPr="009B2DA6" w:rsidRDefault="00F82BB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6" w:type="pct"/>
          </w:tcPr>
          <w:p w14:paraId="1900B0C1" w14:textId="5FB3AFAB" w:rsidR="00F82BBA" w:rsidRPr="009B2DA6" w:rsidRDefault="00A27CE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MED_START_DATE</w:t>
            </w:r>
          </w:p>
        </w:tc>
        <w:tc>
          <w:tcPr>
            <w:tcW w:w="1687" w:type="pct"/>
          </w:tcPr>
          <w:p w14:paraId="3883BF3E" w14:textId="3DBC98BE" w:rsidR="00F82BBA" w:rsidRDefault="00A27CE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biologics only, the </w:t>
            </w:r>
            <w:r w:rsidR="00894EE8">
              <w:rPr>
                <w:rFonts w:cstheme="minorHAnsi"/>
                <w:sz w:val="20"/>
                <w:szCs w:val="20"/>
              </w:rPr>
              <w:t xml:space="preserve">date the medication was first prescribed in the EMR.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0"/>
              <w:gridCol w:w="1880"/>
            </w:tblGrid>
            <w:tr w:rsidR="009A122A" w14:paraId="3D3D80C1" w14:textId="77777777" w:rsidTr="009A122A">
              <w:tc>
                <w:tcPr>
                  <w:tcW w:w="1880" w:type="dxa"/>
                </w:tcPr>
                <w:p w14:paraId="721F2DE7" w14:textId="34C3CE57" w:rsidR="009A122A" w:rsidRDefault="009A122A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Biologic</w:t>
                  </w:r>
                </w:p>
              </w:tc>
              <w:tc>
                <w:tcPr>
                  <w:tcW w:w="1880" w:type="dxa"/>
                </w:tcPr>
                <w:p w14:paraId="3130EE94" w14:textId="285E025F" w:rsidR="009A122A" w:rsidRDefault="009A122A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Criteria</w:t>
                  </w:r>
                </w:p>
              </w:tc>
            </w:tr>
            <w:tr w:rsidR="009A122A" w14:paraId="67C7F037" w14:textId="77777777" w:rsidTr="009A122A">
              <w:tc>
                <w:tcPr>
                  <w:tcW w:w="1880" w:type="dxa"/>
                </w:tcPr>
                <w:p w14:paraId="7B812F8C" w14:textId="617DB5B7" w:rsidR="009A122A" w:rsidRDefault="00787FA2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Infliximab</w:t>
                  </w:r>
                </w:p>
              </w:tc>
              <w:tc>
                <w:tcPr>
                  <w:tcW w:w="1880" w:type="dxa"/>
                </w:tcPr>
                <w:p w14:paraId="2609F9FC" w14:textId="03C73AFD" w:rsidR="009A122A" w:rsidRDefault="00787FA2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Prescriptions at 0,2,6 and then every 8 weeks</w:t>
                  </w:r>
                </w:p>
              </w:tc>
            </w:tr>
            <w:tr w:rsidR="009A122A" w14:paraId="171D1326" w14:textId="77777777" w:rsidTr="009A122A">
              <w:tc>
                <w:tcPr>
                  <w:tcW w:w="1880" w:type="dxa"/>
                </w:tcPr>
                <w:p w14:paraId="7C576C9B" w14:textId="76E3774F" w:rsidR="009A122A" w:rsidRDefault="00787FA2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Adalimumab</w:t>
                  </w:r>
                </w:p>
              </w:tc>
              <w:tc>
                <w:tcPr>
                  <w:tcW w:w="1880" w:type="dxa"/>
                </w:tcPr>
                <w:p w14:paraId="40EE7576" w14:textId="1EC0739F" w:rsidR="009A122A" w:rsidRDefault="00041388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Every 2 weeks with the first dose as 160mg, then 80 mg, then 40mg going forward</w:t>
                  </w:r>
                </w:p>
              </w:tc>
            </w:tr>
            <w:tr w:rsidR="009A122A" w14:paraId="15124DB0" w14:textId="77777777" w:rsidTr="009A122A">
              <w:tc>
                <w:tcPr>
                  <w:tcW w:w="1880" w:type="dxa"/>
                </w:tcPr>
                <w:p w14:paraId="51746621" w14:textId="6169771C" w:rsidR="009A122A" w:rsidRDefault="00041388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Certolizum</w:t>
                  </w:r>
                  <w:r w:rsidR="00B65005">
                    <w:rPr>
                      <w:rFonts w:cstheme="minorHAnsi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1880" w:type="dxa"/>
                </w:tcPr>
                <w:p w14:paraId="797EEB35" w14:textId="0F0DF2B8" w:rsidR="009A122A" w:rsidRDefault="00B65005" w:rsidP="00F82BB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Prescriptions at 0,2,4 and then every 4 weeks</w:t>
                  </w:r>
                </w:p>
              </w:tc>
            </w:tr>
            <w:tr w:rsidR="00B65005" w14:paraId="3D587251" w14:textId="77777777" w:rsidTr="009A122A">
              <w:tc>
                <w:tcPr>
                  <w:tcW w:w="1880" w:type="dxa"/>
                </w:tcPr>
                <w:p w14:paraId="7A3B0F1C" w14:textId="6AE1629A" w:rsidR="00B65005" w:rsidRDefault="00B65005" w:rsidP="00B65005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Vedolizumab</w:t>
                  </w:r>
                </w:p>
              </w:tc>
              <w:tc>
                <w:tcPr>
                  <w:tcW w:w="1880" w:type="dxa"/>
                </w:tcPr>
                <w:p w14:paraId="46BF8B86" w14:textId="581926D5" w:rsidR="00B65005" w:rsidRDefault="00B65005" w:rsidP="00B65005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Prescriptions at 0,2,6 and then every 8 weeks</w:t>
                  </w:r>
                </w:p>
              </w:tc>
            </w:tr>
            <w:tr w:rsidR="00B65005" w14:paraId="722A542C" w14:textId="77777777" w:rsidTr="009A122A">
              <w:tc>
                <w:tcPr>
                  <w:tcW w:w="1880" w:type="dxa"/>
                </w:tcPr>
                <w:p w14:paraId="052650B7" w14:textId="25A2D11D" w:rsidR="00B65005" w:rsidRDefault="00B65005" w:rsidP="00B65005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Uste</w:t>
                  </w:r>
                  <w:r w:rsidR="00646B7A">
                    <w:rPr>
                      <w:rFonts w:cstheme="minorHAnsi"/>
                      <w:sz w:val="20"/>
                      <w:szCs w:val="20"/>
                    </w:rPr>
                    <w:t>kinumab</w:t>
                  </w:r>
                </w:p>
              </w:tc>
              <w:tc>
                <w:tcPr>
                  <w:tcW w:w="1880" w:type="dxa"/>
                </w:tcPr>
                <w:p w14:paraId="29F3344E" w14:textId="0F704EE6" w:rsidR="00B65005" w:rsidRDefault="00646B7A" w:rsidP="00B65005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Initial dose as an IV and then subcutaneous injection every 8 weeks</w:t>
                  </w:r>
                </w:p>
              </w:tc>
            </w:tr>
          </w:tbl>
          <w:p w14:paraId="073C8C37" w14:textId="77777777" w:rsidR="009A122A" w:rsidRDefault="009A122A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A89900A" w14:textId="2E84D247" w:rsidR="00894EE8" w:rsidRPr="009B2DA6" w:rsidRDefault="00894EE8" w:rsidP="00F8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6EAD02E6" w14:textId="77777777" w:rsidR="00A615ED" w:rsidRPr="00A615ED" w:rsidRDefault="00A615ED" w:rsidP="00A615ED"/>
    <w:sectPr w:rsidR="00A615ED" w:rsidRPr="00A615ED" w:rsidSect="00BA42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7900" w14:textId="77777777" w:rsidR="003D31B4" w:rsidRDefault="003D31B4" w:rsidP="00C73C20">
      <w:pPr>
        <w:spacing w:after="0" w:line="240" w:lineRule="auto"/>
      </w:pPr>
      <w:r>
        <w:separator/>
      </w:r>
    </w:p>
  </w:endnote>
  <w:endnote w:type="continuationSeparator" w:id="0">
    <w:p w14:paraId="4EF6D17B" w14:textId="77777777" w:rsidR="003D31B4" w:rsidRDefault="003D31B4" w:rsidP="00C7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D15AD" w14:textId="77777777" w:rsidR="003D31B4" w:rsidRDefault="003D31B4" w:rsidP="00C73C20">
      <w:pPr>
        <w:spacing w:after="0" w:line="240" w:lineRule="auto"/>
      </w:pPr>
      <w:r>
        <w:separator/>
      </w:r>
    </w:p>
  </w:footnote>
  <w:footnote w:type="continuationSeparator" w:id="0">
    <w:p w14:paraId="42569F9A" w14:textId="77777777" w:rsidR="003D31B4" w:rsidRDefault="003D31B4" w:rsidP="00C73C20">
      <w:pPr>
        <w:spacing w:after="0" w:line="240" w:lineRule="auto"/>
      </w:pPr>
      <w:r>
        <w:continuationSeparator/>
      </w:r>
    </w:p>
  </w:footnote>
  <w:footnote w:id="1">
    <w:p w14:paraId="47F34F8F" w14:textId="3C1FF7A3" w:rsidR="00FF65F2" w:rsidRDefault="00FF65F2">
      <w:pPr>
        <w:pStyle w:val="FootnoteText"/>
      </w:pPr>
      <w:r>
        <w:rPr>
          <w:rStyle w:val="FootnoteReference"/>
        </w:rPr>
        <w:footnoteRef/>
      </w:r>
      <w:r>
        <w:t xml:space="preserve"> XXX = Medication Name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C43"/>
    <w:multiLevelType w:val="hybridMultilevel"/>
    <w:tmpl w:val="753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00B9"/>
    <w:multiLevelType w:val="hybridMultilevel"/>
    <w:tmpl w:val="D9B0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97"/>
    <w:rsid w:val="00007154"/>
    <w:rsid w:val="00020145"/>
    <w:rsid w:val="0002579F"/>
    <w:rsid w:val="00041388"/>
    <w:rsid w:val="0005274F"/>
    <w:rsid w:val="00055258"/>
    <w:rsid w:val="00056E1C"/>
    <w:rsid w:val="000740DE"/>
    <w:rsid w:val="00081B72"/>
    <w:rsid w:val="000A2012"/>
    <w:rsid w:val="000A7FDA"/>
    <w:rsid w:val="000B3651"/>
    <w:rsid w:val="000C358F"/>
    <w:rsid w:val="000C70BC"/>
    <w:rsid w:val="000C72E7"/>
    <w:rsid w:val="000F3C57"/>
    <w:rsid w:val="00115CDC"/>
    <w:rsid w:val="00122054"/>
    <w:rsid w:val="00123597"/>
    <w:rsid w:val="00134482"/>
    <w:rsid w:val="0017339D"/>
    <w:rsid w:val="001C329C"/>
    <w:rsid w:val="001D78B3"/>
    <w:rsid w:val="001E19D3"/>
    <w:rsid w:val="001E79D0"/>
    <w:rsid w:val="001F6253"/>
    <w:rsid w:val="00227188"/>
    <w:rsid w:val="00256611"/>
    <w:rsid w:val="00271873"/>
    <w:rsid w:val="002772F3"/>
    <w:rsid w:val="002A430F"/>
    <w:rsid w:val="002A44F6"/>
    <w:rsid w:val="00371426"/>
    <w:rsid w:val="00386329"/>
    <w:rsid w:val="003B54AD"/>
    <w:rsid w:val="003B68C8"/>
    <w:rsid w:val="003C0BF1"/>
    <w:rsid w:val="003C75C0"/>
    <w:rsid w:val="003D31B4"/>
    <w:rsid w:val="00412351"/>
    <w:rsid w:val="00412E5D"/>
    <w:rsid w:val="0041640A"/>
    <w:rsid w:val="00435C7C"/>
    <w:rsid w:val="004606F2"/>
    <w:rsid w:val="0047164E"/>
    <w:rsid w:val="00474305"/>
    <w:rsid w:val="00474381"/>
    <w:rsid w:val="004D1B74"/>
    <w:rsid w:val="004E1D6A"/>
    <w:rsid w:val="005542EB"/>
    <w:rsid w:val="00567CDF"/>
    <w:rsid w:val="0059293D"/>
    <w:rsid w:val="005D341E"/>
    <w:rsid w:val="005D7913"/>
    <w:rsid w:val="005E7A8A"/>
    <w:rsid w:val="005F4567"/>
    <w:rsid w:val="005F5087"/>
    <w:rsid w:val="00606373"/>
    <w:rsid w:val="00614A79"/>
    <w:rsid w:val="00646B7A"/>
    <w:rsid w:val="00691A8E"/>
    <w:rsid w:val="006A4340"/>
    <w:rsid w:val="006A5F56"/>
    <w:rsid w:val="006B0C35"/>
    <w:rsid w:val="006D561B"/>
    <w:rsid w:val="006E31CC"/>
    <w:rsid w:val="006E4C3B"/>
    <w:rsid w:val="006E5374"/>
    <w:rsid w:val="006F4DFE"/>
    <w:rsid w:val="0070040D"/>
    <w:rsid w:val="00713438"/>
    <w:rsid w:val="007402E8"/>
    <w:rsid w:val="007629C3"/>
    <w:rsid w:val="007728C4"/>
    <w:rsid w:val="00787FA2"/>
    <w:rsid w:val="0079652D"/>
    <w:rsid w:val="007E1886"/>
    <w:rsid w:val="007F1B6C"/>
    <w:rsid w:val="00803186"/>
    <w:rsid w:val="00811DB5"/>
    <w:rsid w:val="0082252A"/>
    <w:rsid w:val="008344BF"/>
    <w:rsid w:val="00837F4B"/>
    <w:rsid w:val="0086237C"/>
    <w:rsid w:val="0087188D"/>
    <w:rsid w:val="0088351E"/>
    <w:rsid w:val="00890D2D"/>
    <w:rsid w:val="00893A76"/>
    <w:rsid w:val="00894EE8"/>
    <w:rsid w:val="008C2168"/>
    <w:rsid w:val="008D0D15"/>
    <w:rsid w:val="008E3A7B"/>
    <w:rsid w:val="008E40CD"/>
    <w:rsid w:val="008F4A33"/>
    <w:rsid w:val="009058BF"/>
    <w:rsid w:val="0091111B"/>
    <w:rsid w:val="00911A02"/>
    <w:rsid w:val="0091258A"/>
    <w:rsid w:val="00920C9F"/>
    <w:rsid w:val="00921CE6"/>
    <w:rsid w:val="0092237D"/>
    <w:rsid w:val="00985FDB"/>
    <w:rsid w:val="009967C2"/>
    <w:rsid w:val="009A122A"/>
    <w:rsid w:val="009A3FBD"/>
    <w:rsid w:val="009B2CAA"/>
    <w:rsid w:val="009D1048"/>
    <w:rsid w:val="009D50C8"/>
    <w:rsid w:val="009D6D29"/>
    <w:rsid w:val="00A00CEB"/>
    <w:rsid w:val="00A14CF4"/>
    <w:rsid w:val="00A23622"/>
    <w:rsid w:val="00A243D9"/>
    <w:rsid w:val="00A27CEA"/>
    <w:rsid w:val="00A349E2"/>
    <w:rsid w:val="00A615ED"/>
    <w:rsid w:val="00A64260"/>
    <w:rsid w:val="00A677E6"/>
    <w:rsid w:val="00A712A3"/>
    <w:rsid w:val="00AB0C9A"/>
    <w:rsid w:val="00AC0E3E"/>
    <w:rsid w:val="00AC54E0"/>
    <w:rsid w:val="00AF587F"/>
    <w:rsid w:val="00B113E4"/>
    <w:rsid w:val="00B4550A"/>
    <w:rsid w:val="00B4726C"/>
    <w:rsid w:val="00B52191"/>
    <w:rsid w:val="00B53544"/>
    <w:rsid w:val="00B65005"/>
    <w:rsid w:val="00B7248C"/>
    <w:rsid w:val="00B77C65"/>
    <w:rsid w:val="00B855BD"/>
    <w:rsid w:val="00BA2CF5"/>
    <w:rsid w:val="00BA2E9D"/>
    <w:rsid w:val="00BA4288"/>
    <w:rsid w:val="00BB0377"/>
    <w:rsid w:val="00BB1FA3"/>
    <w:rsid w:val="00BB7C00"/>
    <w:rsid w:val="00C036AE"/>
    <w:rsid w:val="00C04260"/>
    <w:rsid w:val="00C06281"/>
    <w:rsid w:val="00C128F1"/>
    <w:rsid w:val="00C14616"/>
    <w:rsid w:val="00C207A7"/>
    <w:rsid w:val="00C504E8"/>
    <w:rsid w:val="00C73C20"/>
    <w:rsid w:val="00C77534"/>
    <w:rsid w:val="00C8193B"/>
    <w:rsid w:val="00C835E8"/>
    <w:rsid w:val="00C87C1E"/>
    <w:rsid w:val="00C977E6"/>
    <w:rsid w:val="00CB2589"/>
    <w:rsid w:val="00CE16CD"/>
    <w:rsid w:val="00CF6415"/>
    <w:rsid w:val="00CF69EC"/>
    <w:rsid w:val="00D35382"/>
    <w:rsid w:val="00D55F40"/>
    <w:rsid w:val="00D92151"/>
    <w:rsid w:val="00DB34C5"/>
    <w:rsid w:val="00DC134F"/>
    <w:rsid w:val="00DC5C94"/>
    <w:rsid w:val="00DD43E2"/>
    <w:rsid w:val="00DE0251"/>
    <w:rsid w:val="00E04147"/>
    <w:rsid w:val="00E117E0"/>
    <w:rsid w:val="00E12809"/>
    <w:rsid w:val="00E14AE9"/>
    <w:rsid w:val="00E42016"/>
    <w:rsid w:val="00E47EE0"/>
    <w:rsid w:val="00E5474B"/>
    <w:rsid w:val="00E55F51"/>
    <w:rsid w:val="00E63BD8"/>
    <w:rsid w:val="00EA1E37"/>
    <w:rsid w:val="00EB16ED"/>
    <w:rsid w:val="00EC0431"/>
    <w:rsid w:val="00EC5A14"/>
    <w:rsid w:val="00ED5FB4"/>
    <w:rsid w:val="00ED7E0C"/>
    <w:rsid w:val="00EE50C0"/>
    <w:rsid w:val="00EE5F7B"/>
    <w:rsid w:val="00EE68C2"/>
    <w:rsid w:val="00EF2304"/>
    <w:rsid w:val="00F03375"/>
    <w:rsid w:val="00F240FF"/>
    <w:rsid w:val="00F37965"/>
    <w:rsid w:val="00F43B66"/>
    <w:rsid w:val="00F5041C"/>
    <w:rsid w:val="00F82BBA"/>
    <w:rsid w:val="00F86F4B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63CE"/>
  <w15:chartTrackingRefBased/>
  <w15:docId w15:val="{F239AD58-2111-405A-AB16-E7F2DA9A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5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15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615E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5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615ED"/>
  </w:style>
  <w:style w:type="character" w:styleId="CommentReference">
    <w:name w:val="annotation reference"/>
    <w:basedOn w:val="DefaultParagraphFont"/>
    <w:uiPriority w:val="99"/>
    <w:semiHidden/>
    <w:unhideWhenUsed/>
    <w:rsid w:val="00A6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5ED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04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04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04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04E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00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40D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28F1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3C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C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C2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14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4191AE428AF428CA72321649248D0" ma:contentTypeVersion="14" ma:contentTypeDescription="Create a new document." ma:contentTypeScope="" ma:versionID="a5764507a9b0d4d930be16dd53d4a9d8">
  <xsd:schema xmlns:xsd="http://www.w3.org/2001/XMLSchema" xmlns:xs="http://www.w3.org/2001/XMLSchema" xmlns:p="http://schemas.microsoft.com/office/2006/metadata/properties" xmlns:ns1="http://schemas.microsoft.com/sharepoint/v3" xmlns:ns2="3037250e-34a5-46ee-a790-672410f3322e" xmlns:ns3="c57fea2e-d146-428a-a2a2-061547110c3f" targetNamespace="http://schemas.microsoft.com/office/2006/metadata/properties" ma:root="true" ma:fieldsID="11156671ecfc5b5145c2686598c88a07" ns1:_="" ns2:_="" ns3:_="">
    <xsd:import namespace="http://schemas.microsoft.com/sharepoint/v3"/>
    <xsd:import namespace="3037250e-34a5-46ee-a790-672410f3322e"/>
    <xsd:import namespace="c57fea2e-d146-428a-a2a2-061547110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7250e-34a5-46ee-a790-672410f33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fea2e-d146-428a-a2a2-061547110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5E95B6-157A-4490-9FBD-5C8B94EE9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958B83-04D0-4637-94A5-D5F13AAB5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37250e-34a5-46ee-a790-672410f3322e"/>
    <ds:schemaRef ds:uri="c57fea2e-d146-428a-a2a2-061547110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33FEA-3937-4741-93E5-127B34F26F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CDE8B-DF4F-4D23-818D-223FE36154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Fehlmann</dc:creator>
  <cp:keywords/>
  <dc:description/>
  <cp:lastModifiedBy>Tara Fehlmann</cp:lastModifiedBy>
  <cp:revision>78</cp:revision>
  <cp:lastPrinted>2021-03-31T15:02:00Z</cp:lastPrinted>
  <dcterms:created xsi:type="dcterms:W3CDTF">2020-12-03T15:15:00Z</dcterms:created>
  <dcterms:modified xsi:type="dcterms:W3CDTF">2021-03-31T15:03:00Z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0x0101009F44191AE428AF428CA72321649248D0</vt:lpwstr>
  </property>
</Properties>
</file>