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b/>
          <w:bCs/>
          <w:color w:val="19557B"/>
          <w:sz w:val="96"/>
          <w:szCs w:val="96"/>
        </w:rPr>
        <w:t xml:space="preserve">NEXCITUS</w:t>
      </w:r>
    </w:p>
    <w:p>
      <w:pPr>
        <w:spacing w:after="160"/>
        <w:jc w:val="center"/>
      </w:pPr>
      <w:r>
        <w:rPr>
          <w:color w:val="333333"/>
          <w:sz w:val="40"/>
          <w:szCs w:val="40"/>
        </w:rPr>
        <w:t xml:space="preserve">Contenido para la nueva página web</w:t>
      </w:r>
    </w:p>
    <w:p>
      <w:pPr>
        <w:spacing w:after="2400"/>
        <w:jc w:val="center"/>
      </w:pPr>
      <w:r>
        <w:rPr>
          <w:i/>
          <w:iCs/>
          <w:color w:val="555555"/>
          <w:sz w:val="26"/>
          <w:szCs w:val="26"/>
        </w:rPr>
        <w:t xml:space="preserve">Textos, secciones, módulos de la plataforma y datos de contacto</w:t>
      </w:r>
    </w:p>
    <w:p>
      <w:pPr>
        <w:jc w:val="center"/>
      </w:pPr>
      <w:r>
        <w:rPr>
          <w:color w:val="555555"/>
          <w:sz w:val="24"/>
          <w:szCs w:val="24"/>
        </w:rPr>
        <w:t xml:space="preserve">Agosto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Propósito de este documento</w:t>
      </w:r>
    </w:p>
    <w:p>
      <w:pPr>
        <w:spacing w:after="120"/>
      </w:pPr>
      <w:r>
        <w:rPr>
          <w:sz w:val="22"/>
          <w:szCs w:val="22"/>
        </w:rPr>
        <w:t xml:space="preserve">Este documento reúne todo el contenido necesario para construir la nueva página web de Nexcitus: la identidad y los textos vigentes del sitio actual (nexcitus.com), los textos corregidos y listos para publicar, y —lo más importante— los módulos nuevos de la plataforma desarrollados durante la modernización del sistema, que hoy no aparecen en la web y son los principales argumentos comerciales a incorporar.</w:t>
      </w:r>
    </w:p>
    <w:p>
      <w:pPr>
        <w:spacing w:after="120"/>
      </w:pPr>
      <w:r>
        <w:rPr>
          <w:sz w:val="22"/>
          <w:szCs w:val="22"/>
        </w:rPr>
        <w:t xml:space="preserve">Cada sección indica el texto sugerido tal como puede publicarse. Los textos tomados del sitio actual se corrigieron ortográficamente (p. ej. «trámites», «nuestro sistema», «Contamos») y las llamadas a la acción se unificaron en español.</w:t>
      </w:r>
    </w:p>
    <w:p>
      <w:pPr>
        <w:pStyle w:val="Heading1"/>
        <w:spacing w:after="160" w:before="320"/>
      </w:pPr>
      <w:r>
        <w:t xml:space="preserve">2. Identidad de marca</w:t>
      </w:r>
    </w:p>
    <w:p>
      <w:pPr>
        <w:spacing w:after="100"/>
      </w:pPr>
      <w:r>
        <w:rPr>
          <w:b/>
          <w:bCs/>
          <w:color w:val="19557B"/>
          <w:sz w:val="22"/>
          <w:szCs w:val="22"/>
        </w:rPr>
        <w:t xml:space="preserve">Nombre: </w:t>
      </w:r>
      <w:r>
        <w:rPr>
          <w:sz w:val="22"/>
          <w:szCs w:val="22"/>
        </w:rPr>
        <w:t xml:space="preserve">Nexcitus</w:t>
      </w:r>
    </w:p>
    <w:p>
      <w:pPr>
        <w:spacing w:after="100"/>
      </w:pPr>
      <w:r>
        <w:rPr>
          <w:b/>
          <w:bCs/>
          <w:color w:val="19557B"/>
          <w:sz w:val="22"/>
          <w:szCs w:val="22"/>
        </w:rPr>
        <w:t xml:space="preserve">Qué es: </w:t>
      </w:r>
      <w:r>
        <w:rPr>
          <w:sz w:val="22"/>
          <w:szCs w:val="22"/>
        </w:rPr>
        <w:t xml:space="preserve">Plataforma especializada de gestión legal y financiera (Legaltech + Fintech) potenciada con inteligencia artificial.</w:t>
      </w:r>
    </w:p>
    <w:p>
      <w:pPr>
        <w:pStyle w:val="Heading3"/>
        <w:spacing w:after="100" w:before="200"/>
      </w:pPr>
      <w:r>
        <w:t xml:space="preserve">Eslogan principal (hero)</w:t>
      </w:r>
    </w:p>
    <w:p>
      <w:pPr>
        <w:pBdr>
          <w:left w:val="single" w:color="19557B" w:sz="12" w:space="8"/>
        </w:pBdr>
        <w:spacing w:after="120"/>
        <w:ind w:left="360"/>
      </w:pPr>
      <w:r>
        <w:rPr>
          <w:i/>
          <w:iCs/>
          <w:color w:val="333333"/>
          <w:sz w:val="22"/>
          <w:szCs w:val="22"/>
        </w:rPr>
        <w:t xml:space="preserve">Creamos el primer sistema especializado que revoluciona el sector Legal, Empresarial y Financiero, con aplicaciones innovadoras impulsadas por inteligencia artificial.</w:t>
      </w:r>
    </w:p>
    <w:p>
      <w:pPr>
        <w:pStyle w:val="Heading3"/>
        <w:spacing w:after="100" w:before="200"/>
      </w:pPr>
      <w:r>
        <w:t xml:space="preserve">Propósito</w:t>
      </w:r>
    </w:p>
    <w:p>
      <w:pPr>
        <w:pBdr>
          <w:left w:val="single" w:color="19557B" w:sz="12" w:space="8"/>
        </w:pBdr>
        <w:spacing w:after="120"/>
        <w:ind w:left="360"/>
      </w:pPr>
      <w:r>
        <w:rPr>
          <w:i/>
          <w:iCs/>
          <w:color w:val="333333"/>
          <w:sz w:val="22"/>
          <w:szCs w:val="22"/>
        </w:rPr>
        <w:t xml:space="preserve">Impulsamos la productividad de Abogados, Empresas y departamentos Legales de Bancos y Cooperativas de Ahorro y Crédito, potenciando la gestión Judicial y Prejudicial.</w:t>
      </w:r>
    </w:p>
    <w:p>
      <w:pPr>
        <w:pStyle w:val="Heading3"/>
        <w:spacing w:after="100" w:before="200"/>
      </w:pPr>
      <w:r>
        <w:t xml:space="preserve">Frase de resultados (para banner o cifras destacadas)</w:t>
      </w:r>
    </w:p>
    <w:p>
      <w:pPr>
        <w:pBdr>
          <w:left w:val="single" w:color="19557B" w:sz="12" w:space="8"/>
        </w:pBdr>
        <w:spacing w:after="120"/>
        <w:ind w:left="360"/>
      </w:pPr>
      <w:r>
        <w:rPr>
          <w:i/>
          <w:iCs/>
          <w:color w:val="333333"/>
          <w:sz w:val="22"/>
          <w:szCs w:val="22"/>
        </w:rPr>
        <w:t xml:space="preserve">La única plataforma que garantiza la máxima recuperación de cartera con algoritmos de Riesgo Judicial y una seguridad auditada al máximo nivel A-100. Potencie la productividad de sus abogados en más del 30 % desde el primer día.</w:t>
      </w:r>
    </w:p>
    <w:p>
      <w:pPr>
        <w:pStyle w:val="Heading3"/>
        <w:spacing w:after="100" w:before="200"/>
      </w:pPr>
      <w:r>
        <w:t xml:space="preserve">Frase corporativa (pie de página)</w:t>
      </w:r>
    </w:p>
    <w:p>
      <w:pPr>
        <w:pBdr>
          <w:left w:val="single" w:color="19557B" w:sz="12" w:space="8"/>
        </w:pBdr>
        <w:spacing w:after="120"/>
        <w:ind w:left="360"/>
      </w:pPr>
      <w:r>
        <w:rPr>
          <w:i/>
          <w:iCs/>
          <w:color w:val="333333"/>
          <w:sz w:val="22"/>
          <w:szCs w:val="22"/>
        </w:rPr>
        <w:t xml:space="preserve">Impulsando la industria Legal y Financiera con inteligencia artificial y servicios especializados.</w:t>
      </w:r>
    </w:p>
    <w:p>
      <w:pPr>
        <w:spacing w:after="100"/>
      </w:pPr>
      <w:r>
        <w:rPr>
          <w:b/>
          <w:bCs/>
          <w:color w:val="19557B"/>
          <w:sz w:val="22"/>
          <w:szCs w:val="22"/>
        </w:rPr>
        <w:t xml:space="preserve">Color de marca: </w:t>
      </w:r>
      <w:r>
        <w:rPr>
          <w:sz w:val="22"/>
          <w:szCs w:val="22"/>
        </w:rPr>
        <w:t xml:space="preserve">Azul Nexcitus #19557B (el mismo de la plataforma; usarlo en botones y titulares para mantener coherencia con la aplicación).</w:t>
      </w:r>
    </w:p>
    <w:p>
      <w:pPr>
        <w:spacing w:after="100"/>
      </w:pPr>
      <w:r>
        <w:rPr>
          <w:b/>
          <w:bCs/>
          <w:color w:val="19557B"/>
          <w:sz w:val="22"/>
          <w:szCs w:val="22"/>
        </w:rPr>
        <w:t xml:space="preserve">Portal de acceso: </w:t>
      </w:r>
      <w:r>
        <w:rPr>
          <w:sz w:val="22"/>
          <w:szCs w:val="22"/>
        </w:rPr>
        <w:t xml:space="preserve">Botón «Ingresar» hacia el portal de la plataforma (hoy apunta a legalsat.com; definir si la nueva web enlaza a app.nexcitus.com).</w:t>
      </w:r>
    </w:p>
    <w:p>
      <w:pPr>
        <w:pStyle w:val="Heading1"/>
        <w:spacing w:after="160" w:before="320"/>
      </w:pPr>
      <w:r>
        <w:t xml:space="preserve">3. Estructura de navegación</w:t>
      </w:r>
    </w:p>
    <w:p>
      <w:pPr>
        <w:spacing w:after="100"/>
      </w:pPr>
      <w:r>
        <w:rPr>
          <w:b/>
          <w:bCs/>
          <w:color w:val="19557B"/>
          <w:sz w:val="22"/>
          <w:szCs w:val="22"/>
        </w:rPr>
        <w:t xml:space="preserve">Menú actual: </w:t>
      </w:r>
      <w:r>
        <w:rPr>
          <w:sz w:val="22"/>
          <w:szCs w:val="22"/>
        </w:rPr>
        <w:t xml:space="preserve">Home · Planes · Servicios · Contacto · Ingresar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Menú sugerido para la nueva web (incorpora la plataforma y la app móvil como páginas propias):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Inicio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Plataforma (módulos del sistema, con capturas de pantalla)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Aplicación móvil (trabajo de campo y modo offline)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Inteligencia Artificial (Análisis de Riesgo Judicial)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Planes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Contacto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Ingresar (acceso a la plataforma)</w:t>
      </w:r>
    </w:p>
    <w:p>
      <w:pPr>
        <w:pStyle w:val="Heading1"/>
        <w:spacing w:after="160" w:before="320"/>
      </w:pPr>
      <w:r>
        <w:t xml:space="preserve">4. Página de inicio — contenido</w:t>
      </w:r>
    </w:p>
    <w:p>
      <w:pPr>
        <w:pStyle w:val="Heading2"/>
        <w:spacing w:after="120" w:before="240"/>
      </w:pPr>
      <w:r>
        <w:t xml:space="preserve">4.1 Sección hero</w:t>
      </w:r>
    </w:p>
    <w:p>
      <w:pPr>
        <w:spacing w:after="100"/>
      </w:pPr>
      <w:r>
        <w:rPr>
          <w:b/>
          <w:bCs/>
          <w:color w:val="19557B"/>
          <w:sz w:val="22"/>
          <w:szCs w:val="22"/>
        </w:rPr>
        <w:t xml:space="preserve">Título: </w:t>
      </w:r>
      <w:r>
        <w:rPr>
          <w:sz w:val="22"/>
          <w:szCs w:val="22"/>
        </w:rPr>
        <w:t xml:space="preserve">Nexcitus</w:t>
      </w:r>
    </w:p>
    <w:p>
      <w:pPr>
        <w:spacing w:after="100"/>
      </w:pPr>
      <w:r>
        <w:rPr>
          <w:b/>
          <w:bCs/>
          <w:color w:val="19557B"/>
          <w:sz w:val="22"/>
          <w:szCs w:val="22"/>
        </w:rPr>
        <w:t xml:space="preserve">Subtítulo: </w:t>
      </w:r>
      <w:r>
        <w:rPr>
          <w:sz w:val="22"/>
          <w:szCs w:val="22"/>
        </w:rPr>
        <w:t xml:space="preserve">Creamos el primer sistema especializado que revoluciona el sector Legal, Empresarial y Financiero, con aplicaciones innovadoras impulsadas por inteligencia artificial.</w:t>
      </w:r>
    </w:p>
    <w:p>
      <w:pPr>
        <w:spacing w:after="100"/>
      </w:pPr>
      <w:r>
        <w:rPr>
          <w:b/>
          <w:bCs/>
          <w:color w:val="19557B"/>
          <w:sz w:val="22"/>
          <w:szCs w:val="22"/>
        </w:rPr>
        <w:t xml:space="preserve">Botón: </w:t>
      </w:r>
      <w:r>
        <w:rPr>
          <w:sz w:val="22"/>
          <w:szCs w:val="22"/>
        </w:rPr>
        <w:t xml:space="preserve">«Conocer más»</w:t>
      </w:r>
    </w:p>
    <w:p>
      <w:pPr>
        <w:pStyle w:val="Heading2"/>
        <w:spacing w:after="120" w:before="240"/>
      </w:pPr>
      <w:r>
        <w:t xml:space="preserve">4.2 Bloque de presentación</w:t>
      </w:r>
    </w:p>
    <w:p>
      <w:pPr>
        <w:spacing w:after="100"/>
      </w:pPr>
      <w:r>
        <w:rPr>
          <w:b/>
          <w:bCs/>
          <w:color w:val="19557B"/>
          <w:sz w:val="22"/>
          <w:szCs w:val="22"/>
        </w:rPr>
        <w:t xml:space="preserve">Encabezado: </w:t>
      </w:r>
      <w:r>
        <w:rPr>
          <w:sz w:val="22"/>
          <w:szCs w:val="22"/>
        </w:rPr>
        <w:t xml:space="preserve">Revolucionamos el sector Legal y Financiero</w:t>
      </w:r>
    </w:p>
    <w:p>
      <w:pPr>
        <w:pBdr>
          <w:left w:val="single" w:color="19557B" w:sz="12" w:space="8"/>
        </w:pBdr>
        <w:spacing w:after="120"/>
        <w:ind w:left="360"/>
      </w:pPr>
      <w:r>
        <w:rPr>
          <w:i/>
          <w:iCs/>
          <w:color w:val="333333"/>
          <w:sz w:val="22"/>
          <w:szCs w:val="22"/>
        </w:rPr>
        <w:t xml:space="preserve">Impulsamos la productividad de Abogados, Empresas y departamentos Legales de Bancos y Cooperativas de Ahorro y Crédito, potenciando la gestión Judicial y Prejudicial.</w:t>
      </w:r>
    </w:p>
    <w:p>
      <w:pPr>
        <w:pStyle w:val="Heading2"/>
        <w:spacing w:after="120" w:before="240"/>
      </w:pPr>
      <w:r>
        <w:t xml:space="preserve">4.3 Cuatro características principales (tarjetas)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Tecnología y Seguridad — </w:t>
      </w:r>
      <w:r>
        <w:rPr>
          <w:sz w:val="22"/>
          <w:szCs w:val="22"/>
        </w:rPr>
        <w:t xml:space="preserve">Protegemos toda tu información con tecnología y seguridad avanzada.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Gestión Prejudicial y de Cobranzas — </w:t>
      </w:r>
      <w:r>
        <w:rPr>
          <w:sz w:val="22"/>
          <w:szCs w:val="22"/>
        </w:rPr>
        <w:t xml:space="preserve">Accede a tu oficina en línea y a todas tus gestiones, clientes, ubicación georreferenciada y más, 24/7.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Gestión Judicial y Extrajudicial — </w:t>
      </w:r>
      <w:r>
        <w:rPr>
          <w:sz w:val="22"/>
          <w:szCs w:val="22"/>
        </w:rPr>
        <w:t xml:space="preserve">Automatiza y gestiona tus juicios, trámites y contratos sin invertir demasiado tiempo.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Análisis de Riesgo Judicial — </w:t>
      </w:r>
      <w:r>
        <w:rPr>
          <w:sz w:val="22"/>
          <w:szCs w:val="22"/>
        </w:rPr>
        <w:t xml:space="preserve">Analizamos el Riesgo Judicial de tus operaciones para una mejor toma de decisiones y estrategias.</w:t>
      </w:r>
    </w:p>
    <w:p>
      <w:pPr>
        <w:pStyle w:val="Heading1"/>
        <w:spacing w:after="160" w:before="320"/>
      </w:pPr>
      <w:r>
        <w:t xml:space="preserve">5. Análisis de Riesgo Judicial (Inteligencia Artificial)</w:t>
      </w:r>
    </w:p>
    <w:p>
      <w:pPr>
        <w:spacing w:after="100"/>
      </w:pPr>
      <w:r>
        <w:rPr>
          <w:b/>
          <w:bCs/>
          <w:color w:val="19557B"/>
          <w:sz w:val="22"/>
          <w:szCs w:val="22"/>
        </w:rPr>
        <w:t xml:space="preserve">Título: </w:t>
      </w:r>
      <w:r>
        <w:rPr>
          <w:sz w:val="22"/>
          <w:szCs w:val="22"/>
        </w:rPr>
        <w:t xml:space="preserve">Análisis de Riesgo Judicial: Predicción Precisa y Confiable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Texto principal:</w:t>
      </w:r>
    </w:p>
    <w:p>
      <w:pPr>
        <w:pBdr>
          <w:left w:val="single" w:color="19557B" w:sz="12" w:space="8"/>
        </w:pBdr>
        <w:spacing w:after="120"/>
        <w:ind w:left="360"/>
      </w:pPr>
      <w:r>
        <w:rPr>
          <w:i/>
          <w:iCs/>
          <w:color w:val="333333"/>
          <w:sz w:val="22"/>
          <w:szCs w:val="22"/>
        </w:rPr>
        <w:t xml:space="preserve">En el entorno financiero actual, mitigar el Riesgo Judicial es crucial. En Nexcitus aprovechamos el poder de la Inteligencia Artificial y las redes neuronales para ir más allá de los métodos tradicionales.</w:t>
      </w:r>
    </w:p>
    <w:p>
      <w:pPr>
        <w:pBdr>
          <w:left w:val="single" w:color="19557B" w:sz="12" w:space="8"/>
        </w:pBdr>
        <w:spacing w:after="120"/>
        <w:ind w:left="360"/>
      </w:pPr>
      <w:r>
        <w:rPr>
          <w:i/>
          <w:iCs/>
          <w:color w:val="333333"/>
          <w:sz w:val="22"/>
          <w:szCs w:val="22"/>
        </w:rPr>
        <w:t xml:space="preserve">Al incorporar algoritmos de análisis predictivo, procesamos grandes volúmenes de datos estructurados y no estructurados. Esto nos permite construir modelos predictivos altamente precisos que ofrecen una visión clara y anticipada del riesgo, permitiendo a las instituciones financieras tomar decisiones informadas y proteger su capital.</w:t>
      </w:r>
    </w:p>
    <w:p>
      <w:pPr>
        <w:pStyle w:val="Heading3"/>
        <w:spacing w:after="100" w:before="200"/>
      </w:pPr>
      <w:r>
        <w:t xml:space="preserve">Factores estratégicos que considera el modelo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Historial de pagos y cumplimiento interno — </w:t>
      </w:r>
      <w:r>
        <w:rPr>
          <w:sz w:val="22"/>
          <w:szCs w:val="22"/>
        </w:rPr>
        <w:t xml:space="preserve">Análisis de la puntualidad y los incumplimientos históricos; registro y cuantificación de días de mora.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Factores socioeconómicos — </w:t>
      </w:r>
      <w:r>
        <w:rPr>
          <w:sz w:val="22"/>
          <w:szCs w:val="22"/>
        </w:rPr>
        <w:t xml:space="preserve">Evaluación de ingresos, gastos y patrimonio del solicitante.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Contactabilidad y compromiso de pago — </w:t>
      </w:r>
      <w:r>
        <w:rPr>
          <w:sz w:val="22"/>
          <w:szCs w:val="22"/>
        </w:rPr>
        <w:t xml:space="preserve">Efectividad de las gestiones de contacto y nivel de cumplimiento de compromisos previos.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Información judicial — </w:t>
      </w:r>
      <w:r>
        <w:rPr>
          <w:sz w:val="22"/>
          <w:szCs w:val="22"/>
        </w:rPr>
        <w:t xml:space="preserve">Revisión de juicios por incumplimiento de pago, su interés y relevancia; verificación de registros de insolvencia.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Evaluación del garante — </w:t>
      </w:r>
      <w:r>
        <w:rPr>
          <w:sz w:val="22"/>
          <w:szCs w:val="22"/>
        </w:rPr>
        <w:t xml:space="preserve">Evaluación de las mismas condiciones aplicadas al garante, como factor de seguridad complementario.</w:t>
      </w:r>
    </w:p>
    <w:p>
      <w:pPr>
        <w:spacing w:after="100"/>
      </w:pPr>
      <w:r>
        <w:rPr>
          <w:b/>
          <w:bCs/>
          <w:color w:val="19557B"/>
          <w:sz w:val="22"/>
          <w:szCs w:val="22"/>
        </w:rPr>
        <w:t xml:space="preserve">Botón: </w:t>
      </w:r>
      <w:r>
        <w:rPr>
          <w:sz w:val="22"/>
          <w:szCs w:val="22"/>
        </w:rPr>
        <w:t xml:space="preserve">«Contáctanos»</w:t>
      </w:r>
    </w:p>
    <w:p>
      <w:pPr>
        <w:pStyle w:val="Heading1"/>
        <w:spacing w:after="160" w:before="320"/>
      </w:pPr>
      <w:r>
        <w:t xml:space="preserve">6. ¿Quiénes usan Nexcitus? (segmentos)</w:t>
      </w:r>
    </w:p>
    <w:p>
      <w:pPr>
        <w:pStyle w:val="Heading3"/>
        <w:spacing w:after="100" w:before="200"/>
      </w:pPr>
      <w:r>
        <w:t xml:space="preserve">Abogados</w:t>
      </w:r>
    </w:p>
    <w:p>
      <w:pPr>
        <w:pBdr>
          <w:left w:val="single" w:color="19557B" w:sz="12" w:space="8"/>
        </w:pBdr>
        <w:spacing w:after="120"/>
        <w:ind w:left="360"/>
      </w:pPr>
      <w:r>
        <w:rPr>
          <w:i/>
          <w:iCs/>
          <w:color w:val="333333"/>
          <w:sz w:val="22"/>
          <w:szCs w:val="22"/>
        </w:rPr>
        <w:t xml:space="preserve">Ideal para abogados: lleva tu oficina en la palma de tu mano y conviértete en un abogado digital. Automatizamos y administramos todas las gestiones de recuperación de cartera de cobranzas prejudicial y judicial.</w:t>
      </w:r>
    </w:p>
    <w:p>
      <w:pPr>
        <w:pStyle w:val="Heading3"/>
        <w:spacing w:after="100" w:before="200"/>
      </w:pPr>
      <w:r>
        <w:t xml:space="preserve">Bufetes y despachos jurídicos</w:t>
      </w:r>
    </w:p>
    <w:p>
      <w:pPr>
        <w:pBdr>
          <w:left w:val="single" w:color="19557B" w:sz="12" w:space="8"/>
        </w:pBdr>
        <w:spacing w:after="120"/>
        <w:ind w:left="360"/>
      </w:pPr>
      <w:r>
        <w:rPr>
          <w:i/>
          <w:iCs/>
          <w:color w:val="333333"/>
          <w:sz w:val="22"/>
          <w:szCs w:val="22"/>
        </w:rPr>
        <w:t xml:space="preserve">Administra y gestiona todos los trámites y procesos de tu oficina; trabaja en línea con tus socios y colaboradores.</w:t>
      </w:r>
    </w:p>
    <w:p>
      <w:pPr>
        <w:pStyle w:val="Heading3"/>
        <w:spacing w:after="100" w:before="200"/>
      </w:pPr>
      <w:r>
        <w:t xml:space="preserve">Empresas y corporaciones</w:t>
      </w:r>
    </w:p>
    <w:p>
      <w:pPr>
        <w:pBdr>
          <w:left w:val="single" w:color="19557B" w:sz="12" w:space="8"/>
        </w:pBdr>
        <w:spacing w:after="120"/>
        <w:ind w:left="360"/>
      </w:pPr>
      <w:r>
        <w:rPr>
          <w:i/>
          <w:iCs/>
          <w:color w:val="333333"/>
          <w:sz w:val="22"/>
          <w:szCs w:val="22"/>
        </w:rPr>
        <w:t xml:space="preserve">Lleva un control total de todos tus trámites y procesos con nuestro sistema potenciado con inteligencia artificial. Ideal para empresas privadas, públicas y GAD.</w:t>
      </w:r>
    </w:p>
    <w:p>
      <w:pPr>
        <w:pStyle w:val="Heading3"/>
        <w:spacing w:after="100" w:before="200"/>
      </w:pPr>
      <w:r>
        <w:t xml:space="preserve">Bancos y Cooperativas de Ahorro y Crédito</w:t>
      </w:r>
    </w:p>
    <w:p>
      <w:pPr>
        <w:pBdr>
          <w:left w:val="single" w:color="19557B" w:sz="12" w:space="8"/>
        </w:pBdr>
        <w:spacing w:after="120"/>
        <w:ind w:left="360"/>
      </w:pPr>
      <w:r>
        <w:rPr>
          <w:i/>
          <w:iCs/>
          <w:color w:val="333333"/>
          <w:sz w:val="22"/>
          <w:szCs w:val="22"/>
        </w:rPr>
        <w:t xml:space="preserve">El único sistema potenciado con inteligencia artificial que integra Legaltech y Fintech para la automatización y administración de trámites, procesos y juicios del sector financiero y cooperativista.</w:t>
      </w:r>
    </w:p>
    <w:p>
      <w:pPr>
        <w:pStyle w:val="Heading1"/>
        <w:spacing w:after="160" w:before="320"/>
      </w:pPr>
      <w:r>
        <w:t xml:space="preserve">7. Secciones destacadas de producto (del sitio actual, corregidas)</w:t>
      </w:r>
    </w:p>
    <w:p>
      <w:pPr>
        <w:pStyle w:val="Heading3"/>
        <w:spacing w:after="100" w:before="200"/>
      </w:pPr>
      <w:r>
        <w:t xml:space="preserve">La gestión de cobranza legal</w:t>
      </w:r>
    </w:p>
    <w:p>
      <w:pPr>
        <w:pBdr>
          <w:left w:val="single" w:color="19557B" w:sz="12" w:space="8"/>
        </w:pBdr>
        <w:spacing w:after="120"/>
        <w:ind w:left="360"/>
      </w:pPr>
      <w:r>
        <w:rPr>
          <w:i/>
          <w:iCs/>
          <w:color w:val="333333"/>
          <w:sz w:val="22"/>
          <w:szCs w:val="22"/>
        </w:rPr>
        <w:t xml:space="preserve">Es la única plataforma que garantiza la máxima recuperación de cartera con algoritmos de Riesgo Judicial y una seguridad auditada con el máximo nivel A-100. Potencie la productividad de sus abogados en más del 30 % desde el primer día.</w:t>
      </w:r>
    </w:p>
    <w:p>
      <w:pPr>
        <w:pStyle w:val="Heading3"/>
        <w:spacing w:after="100" w:before="200"/>
      </w:pPr>
      <w:r>
        <w:t xml:space="preserve">Inteligencia artificial y predicción de riesgo</w:t>
      </w:r>
    </w:p>
    <w:p>
      <w:pPr>
        <w:pBdr>
          <w:left w:val="single" w:color="19557B" w:sz="12" w:space="8"/>
        </w:pBdr>
        <w:spacing w:after="120"/>
        <w:ind w:left="360"/>
      </w:pPr>
      <w:r>
        <w:rPr>
          <w:i/>
          <w:iCs/>
          <w:color w:val="333333"/>
          <w:sz w:val="22"/>
          <w:szCs w:val="22"/>
        </w:rPr>
        <w:t xml:space="preserve">Nexcitus integra algoritmos y redes neuronales para el Análisis de Riesgo Judicial de sus operaciones. Construimos modelos predictivos altamente precisos analizando el historial de pagos, la contactabilidad y los registros judiciales. Esto le permite tomar mejores decisiones y formular estrategias más efectivas antes de iniciar cualquier acción legal.</w:t>
      </w:r>
    </w:p>
    <w:p>
      <w:pPr>
        <w:pStyle w:val="Heading3"/>
        <w:spacing w:after="100" w:before="200"/>
      </w:pPr>
      <w:r>
        <w:t xml:space="preserve">Seguridad de alto nivel</w:t>
      </w:r>
    </w:p>
    <w:p>
      <w:pPr>
        <w:pBdr>
          <w:left w:val="single" w:color="19557B" w:sz="12" w:space="8"/>
        </w:pBdr>
        <w:spacing w:after="120"/>
        <w:ind w:left="360"/>
      </w:pPr>
      <w:r>
        <w:rPr>
          <w:i/>
          <w:iCs/>
          <w:color w:val="333333"/>
          <w:sz w:val="22"/>
          <w:szCs w:val="22"/>
        </w:rPr>
        <w:t xml:space="preserve">Contamos con una infraestructura construida bajo el principio de Seguridad por Diseño, con calificación de seguridad máxima. Toda la información se protege mediante cifrado de extremo a extremo para asegurar absoluta confidencialidad.</w:t>
      </w:r>
    </w:p>
    <w:p>
      <w:pPr>
        <w:pStyle w:val="Heading3"/>
        <w:spacing w:after="100" w:before="200"/>
      </w:pPr>
      <w:r>
        <w:t xml:space="preserve">Aplicativo móvil y modo offline</w:t>
      </w:r>
    </w:p>
    <w:p>
      <w:pPr>
        <w:pBdr>
          <w:left w:val="single" w:color="19557B" w:sz="12" w:space="8"/>
        </w:pBdr>
        <w:spacing w:after="120"/>
        <w:ind w:left="360"/>
      </w:pPr>
      <w:r>
        <w:rPr>
          <w:i/>
          <w:iCs/>
          <w:color w:val="333333"/>
          <w:sz w:val="22"/>
          <w:szCs w:val="22"/>
        </w:rPr>
        <w:t xml:space="preserve">Contamos con un aplicativo móvil especializado para el trabajo fuera de oficina, que garantiza que la operación continúe al 100 % incluso sin conexión. Permite realizar gestiones y registrar la ubicación georreferenciada, con evidencia fotográfica y respaldo de coordenadas GPS verificadas.</w:t>
      </w:r>
    </w:p>
    <w:p>
      <w:pPr>
        <w:pStyle w:val="Heading3"/>
        <w:spacing w:after="100" w:before="200"/>
      </w:pPr>
      <w:r>
        <w:t xml:space="preserve">Detección automática de inactividad procesal</w:t>
      </w:r>
    </w:p>
    <w:p>
      <w:pPr>
        <w:pBdr>
          <w:left w:val="single" w:color="19557B" w:sz="12" w:space="8"/>
        </w:pBdr>
        <w:spacing w:after="120"/>
        <w:ind w:left="360"/>
      </w:pPr>
      <w:r>
        <w:rPr>
          <w:i/>
          <w:iCs/>
          <w:color w:val="333333"/>
          <w:sz w:val="22"/>
          <w:szCs w:val="22"/>
        </w:rPr>
        <w:t xml:space="preserve">Incluye un módulo especializado que monitorea y mide la inactividad procesal. El sistema analiza automáticamente los períodos sin gestión y notifica a los usuarios —por correo, web o móvil— sobre los procesos que han permanecido inactivos por demasiado tiempo.</w:t>
      </w:r>
    </w:p>
    <w:p>
      <w:pPr>
        <w:pStyle w:val="Heading3"/>
        <w:spacing w:after="100" w:before="200"/>
      </w:pPr>
      <w:r>
        <w:t xml:space="preserve">Gestión integral y unificada de casos</w:t>
      </w:r>
    </w:p>
    <w:p>
      <w:pPr>
        <w:pBdr>
          <w:left w:val="single" w:color="19557B" w:sz="12" w:space="8"/>
        </w:pBdr>
        <w:spacing w:after="120"/>
        <w:ind w:left="360"/>
      </w:pPr>
      <w:r>
        <w:rPr>
          <w:i/>
          <w:iCs/>
          <w:color w:val="333333"/>
          <w:sz w:val="22"/>
          <w:szCs w:val="22"/>
        </w:rPr>
        <w:t xml:space="preserve">Automatizamos y administramos de forma integral la gestión de cobranzas prejudicial y judicial. Nuestra plataforma permite gestionar clientes y deudores, controlar obligaciones, registrar acuerdos de pago y dar seguimiento completo a los procesos judiciales en cada una de sus etapas.</w:t>
      </w:r>
    </w:p>
    <w:p>
      <w:pPr>
        <w:pStyle w:val="Heading1"/>
        <w:spacing w:after="160" w:before="320"/>
      </w:pPr>
      <w:r>
        <w:t xml:space="preserve">8. Módulos nuevos de la plataforma (contenido a incorporar)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Estos módulos existen hoy en la plataforma renovada y NO aparecen en la web actual. Son los principales diferenciadores a comunicar. Cada uno incluye un texto sugerido listo para publicar; se recomienda acompañarlos con capturas de pantalla reales.</w:t>
      </w:r>
    </w:p>
    <w:p>
      <w:pPr>
        <w:pStyle w:val="Heading2"/>
        <w:spacing w:after="120" w:before="240"/>
      </w:pPr>
      <w:r>
        <w:t xml:space="preserve">8.1 Plataforma web de nueva generación</w:t>
      </w:r>
    </w:p>
    <w:p>
      <w:pPr>
        <w:pBdr>
          <w:left w:val="single" w:color="19557B" w:sz="12" w:space="8"/>
        </w:pBdr>
        <w:spacing w:after="120"/>
        <w:ind w:left="360"/>
      </w:pPr>
      <w:r>
        <w:rPr>
          <w:i/>
          <w:iCs/>
          <w:color w:val="333333"/>
          <w:sz w:val="22"/>
          <w:szCs w:val="22"/>
        </w:rPr>
        <w:t xml:space="preserve">Nexcitus estrena una plataforma web completamente renovada: más rápida, moderna e intuitiva, con modo claro y modo noche, diseño adaptable a cualquier pantalla y una experiencia de usuario pensada para el trabajo diario intensivo de los equipos de cobranza y legales.</w:t>
      </w:r>
    </w:p>
    <w:p>
      <w:pPr>
        <w:pStyle w:val="Heading2"/>
        <w:spacing w:after="120" w:before="240"/>
      </w:pPr>
      <w:r>
        <w:t xml:space="preserve">8.2 Directorio de clientes y carteras</w:t>
      </w:r>
    </w:p>
    <w:p>
      <w:pPr>
        <w:pBdr>
          <w:left w:val="single" w:color="19557B" w:sz="12" w:space="8"/>
        </w:pBdr>
        <w:spacing w:after="120"/>
        <w:ind w:left="360"/>
      </w:pPr>
      <w:r>
        <w:rPr>
          <w:i/>
          <w:iCs/>
          <w:color w:val="333333"/>
          <w:sz w:val="22"/>
          <w:szCs w:val="22"/>
        </w:rPr>
        <w:t xml:space="preserve">Una vista 360° de cada cliente: datos de contacto, direcciones georreferenciadas con punto principal en el mapa, operaciones, procesos y todo su historial de gestión en un solo lugar. Indicadores de cartera en tiempo real para saber, de un vistazo, el estado de la recuperación.</w:t>
      </w:r>
    </w:p>
    <w:p>
      <w:pPr>
        <w:pStyle w:val="Heading2"/>
        <w:spacing w:after="120" w:before="240"/>
      </w:pPr>
      <w:r>
        <w:t xml:space="preserve">8.3 Etapas de cobranza inteligentes</w:t>
      </w:r>
    </w:p>
    <w:p>
      <w:pPr>
        <w:pBdr>
          <w:left w:val="single" w:color="19557B" w:sz="12" w:space="8"/>
        </w:pBdr>
        <w:spacing w:after="120"/>
        <w:ind w:left="360"/>
      </w:pPr>
      <w:r>
        <w:rPr>
          <w:i/>
          <w:iCs/>
          <w:color w:val="333333"/>
          <w:sz w:val="22"/>
          <w:szCs w:val="22"/>
        </w:rPr>
        <w:t xml:space="preserve">El sistema clasifica automáticamente a cada cliente en su etapa de cobranza según la antigüedad de la mora, y permite forzar etapas manualmente cuando la estrategia lo requiere. Una línea de tiempo registra cada cambio para una trazabilidad completa.</w:t>
      </w:r>
    </w:p>
    <w:p>
      <w:pPr>
        <w:pStyle w:val="Heading2"/>
        <w:spacing w:after="120" w:before="240"/>
      </w:pPr>
      <w:r>
        <w:t xml:space="preserve">8.4 Panel de gestiones con mapa de calor</w:t>
      </w:r>
    </w:p>
    <w:p>
      <w:pPr>
        <w:pBdr>
          <w:left w:val="single" w:color="19557B" w:sz="12" w:space="8"/>
        </w:pBdr>
        <w:spacing w:after="120"/>
        <w:ind w:left="360"/>
      </w:pPr>
      <w:r>
        <w:rPr>
          <w:i/>
          <w:iCs/>
          <w:color w:val="333333"/>
          <w:sz w:val="22"/>
          <w:szCs w:val="22"/>
        </w:rPr>
        <w:t xml:space="preserve">Un panel unificado de gestiones que concentra los reportes de gestión y las gestiones georreferenciadas: compare carteras con y sin gestión, analice la actividad de su equipo y visualice sobre el mapa las zonas de mayor concentración con un mapa de calor interactivo.</w:t>
      </w:r>
    </w:p>
    <w:p>
      <w:pPr>
        <w:pStyle w:val="Heading2"/>
        <w:spacing w:after="120" w:before="240"/>
      </w:pPr>
      <w:r>
        <w:t xml:space="preserve">8.5 GPS Cobranza: zonas y monitoreo en tiempo real</w:t>
      </w:r>
    </w:p>
    <w:p>
      <w:pPr>
        <w:pBdr>
          <w:left w:val="single" w:color="19557B" w:sz="12" w:space="8"/>
        </w:pBdr>
        <w:spacing w:after="120"/>
        <w:ind w:left="360"/>
      </w:pPr>
      <w:r>
        <w:rPr>
          <w:i/>
          <w:iCs/>
          <w:color w:val="333333"/>
          <w:sz w:val="22"/>
          <w:szCs w:val="22"/>
        </w:rPr>
        <w:t xml:space="preserve">Asigne zonas de cobranza dibujando áreas directamente sobre el mapa y distribuya la cartera entre sus gestores de campo. Desde la oficina, supervise en tiempo real la ubicación y el avance de cada cobrador, con actualización automática de la pantalla de monitoreo.</w:t>
      </w:r>
    </w:p>
    <w:p>
      <w:pPr>
        <w:pStyle w:val="Heading2"/>
        <w:spacing w:after="120" w:before="240"/>
      </w:pPr>
      <w:r>
        <w:t xml:space="preserve">8.6 Rutas de visita optimizadas (móvil)</w:t>
      </w:r>
    </w:p>
    <w:p>
      <w:pPr>
        <w:pBdr>
          <w:left w:val="single" w:color="19557B" w:sz="12" w:space="8"/>
        </w:pBdr>
        <w:spacing w:after="120"/>
        <w:ind w:left="360"/>
      </w:pPr>
      <w:r>
        <w:rPr>
          <w:i/>
          <w:iCs/>
          <w:color w:val="333333"/>
          <w:sz w:val="22"/>
          <w:szCs w:val="22"/>
        </w:rPr>
        <w:t xml:space="preserve">La aplicación móvil calcula la ruta óptima de visitas del día y guía al gestor punto por punto con navegación en pantalla, indicándole en todo momento cuántos clientes le faltan por visitar. El recorrido queda registrado con coordenadas GPS verificadas.</w:t>
      </w:r>
    </w:p>
    <w:p>
      <w:pPr>
        <w:pStyle w:val="Heading2"/>
        <w:spacing w:after="120" w:before="240"/>
      </w:pPr>
      <w:r>
        <w:t xml:space="preserve">8.7 Campañas</w:t>
      </w:r>
    </w:p>
    <w:p>
      <w:pPr>
        <w:pBdr>
          <w:left w:val="single" w:color="19557B" w:sz="12" w:space="8"/>
        </w:pBdr>
        <w:spacing w:after="120"/>
        <w:ind w:left="360"/>
      </w:pPr>
      <w:r>
        <w:rPr>
          <w:i/>
          <w:iCs/>
          <w:color w:val="333333"/>
          <w:sz w:val="22"/>
          <w:szCs w:val="22"/>
        </w:rPr>
        <w:t xml:space="preserve">Diseñe campañas de contacto sobre segmentos de su cartera con un asistente paso a paso: seleccione el universo de clientes, defina el mensaje y simule los resultados antes de ejecutar cualquier acción.</w:t>
      </w:r>
    </w:p>
    <w:p>
      <w:pPr>
        <w:pStyle w:val="Heading2"/>
        <w:spacing w:after="120" w:before="240"/>
      </w:pPr>
      <w:r>
        <w:t xml:space="preserve">8.8 Comprobantes electrónicos</w:t>
      </w:r>
    </w:p>
    <w:p>
      <w:pPr>
        <w:pBdr>
          <w:left w:val="single" w:color="19557B" w:sz="12" w:space="8"/>
        </w:pBdr>
        <w:spacing w:after="120"/>
        <w:ind w:left="360"/>
      </w:pPr>
      <w:r>
        <w:rPr>
          <w:i/>
          <w:iCs/>
          <w:color w:val="333333"/>
          <w:sz w:val="22"/>
          <w:szCs w:val="22"/>
        </w:rPr>
        <w:t xml:space="preserve">Emita facturas electrónicas directamente desde la plataforma, integradas con su operación de honorarios y servicios.</w:t>
      </w:r>
    </w:p>
    <w:p>
      <w:pPr>
        <w:pStyle w:val="Heading2"/>
        <w:spacing w:after="120" w:before="240"/>
      </w:pPr>
      <w:r>
        <w:t xml:space="preserve">8.9 Gestión documental</w:t>
      </w:r>
    </w:p>
    <w:p>
      <w:pPr>
        <w:pBdr>
          <w:left w:val="single" w:color="19557B" w:sz="12" w:space="8"/>
        </w:pBdr>
        <w:spacing w:after="120"/>
        <w:ind w:left="360"/>
      </w:pPr>
      <w:r>
        <w:rPr>
          <w:i/>
          <w:iCs/>
          <w:color w:val="333333"/>
          <w:sz w:val="22"/>
          <w:szCs w:val="22"/>
        </w:rPr>
        <w:t xml:space="preserve">Cargue documentos de forma individual o masiva, créelos en línea con plantillas y manténgalos organizados por categorías, con almacenamiento seguro en la nube y vinculación directa a clientes, procesos y gestiones.</w:t>
      </w:r>
    </w:p>
    <w:p>
      <w:pPr>
        <w:pStyle w:val="Heading2"/>
        <w:spacing w:after="120" w:before="240"/>
      </w:pPr>
      <w:r>
        <w:t xml:space="preserve">8.10 Biblioteca de leyes</w:t>
      </w:r>
    </w:p>
    <w:p>
      <w:pPr>
        <w:pBdr>
          <w:left w:val="single" w:color="19557B" w:sz="12" w:space="8"/>
        </w:pBdr>
        <w:spacing w:after="120"/>
        <w:ind w:left="360"/>
      </w:pPr>
      <w:r>
        <w:rPr>
          <w:i/>
          <w:iCs/>
          <w:color w:val="333333"/>
          <w:sz w:val="22"/>
          <w:szCs w:val="22"/>
        </w:rPr>
        <w:t xml:space="preserve">Una biblioteca jurídica de consulta integrada a la plataforma, para que su equipo tenga la normativa siempre a mano.</w:t>
      </w:r>
    </w:p>
    <w:p>
      <w:pPr>
        <w:pStyle w:val="Heading2"/>
        <w:spacing w:after="120" w:before="240"/>
      </w:pPr>
      <w:r>
        <w:t xml:space="preserve">8.11 Agenda y planificación</w:t>
      </w:r>
    </w:p>
    <w:p>
      <w:pPr>
        <w:pBdr>
          <w:left w:val="single" w:color="19557B" w:sz="12" w:space="8"/>
        </w:pBdr>
        <w:spacing w:after="120"/>
        <w:ind w:left="360"/>
      </w:pPr>
      <w:r>
        <w:rPr>
          <w:i/>
          <w:iCs/>
          <w:color w:val="333333"/>
          <w:sz w:val="22"/>
          <w:szCs w:val="22"/>
        </w:rPr>
        <w:t xml:space="preserve">Planifique actividades y tareas vinculadas a clientes y procesos, con recordatorios y seguimiento de cumplimiento tanto en la web como en el móvil.</w:t>
      </w:r>
    </w:p>
    <w:p>
      <w:pPr>
        <w:pStyle w:val="Heading2"/>
        <w:spacing w:after="120" w:before="240"/>
      </w:pPr>
      <w:r>
        <w:t xml:space="preserve">8.12 Gestión completa de procesos judiciales</w:t>
      </w:r>
    </w:p>
    <w:p>
      <w:pPr>
        <w:pBdr>
          <w:left w:val="single" w:color="19557B" w:sz="12" w:space="8"/>
        </w:pBdr>
        <w:spacing w:after="120"/>
        <w:ind w:left="360"/>
      </w:pPr>
      <w:r>
        <w:rPr>
          <w:i/>
          <w:iCs/>
          <w:color w:val="333333"/>
          <w:sz w:val="22"/>
          <w:szCs w:val="22"/>
        </w:rPr>
        <w:t xml:space="preserve">Cree y administre procesos con sus operaciones, etapas y actuaciones; controle los gastos procesales con indicadores de débitos y créditos; registre honorarios y abonos con sus comprobantes adjuntos; y administre el equipo de abogados y responsables de cada caso.</w:t>
      </w:r>
    </w:p>
    <w:p>
      <w:pPr>
        <w:pStyle w:val="Heading2"/>
        <w:spacing w:after="120" w:before="240"/>
      </w:pPr>
      <w:r>
        <w:t xml:space="preserve">8.13 Reportes</w:t>
      </w:r>
    </w:p>
    <w:p>
      <w:pPr>
        <w:pBdr>
          <w:left w:val="single" w:color="19557B" w:sz="12" w:space="8"/>
        </w:pBdr>
        <w:spacing w:after="120"/>
        <w:ind w:left="360"/>
      </w:pPr>
      <w:r>
        <w:rPr>
          <w:i/>
          <w:iCs/>
          <w:color w:val="333333"/>
          <w:sz w:val="22"/>
          <w:szCs w:val="22"/>
        </w:rPr>
        <w:t xml:space="preserve">Genere reportes operativos y gerenciales de su cartera y sus gestiones, con historial de generación y descarga.</w:t>
      </w:r>
    </w:p>
    <w:p>
      <w:pPr>
        <w:pStyle w:val="Heading2"/>
        <w:spacing w:after="120" w:before="240"/>
      </w:pPr>
      <w:r>
        <w:t xml:space="preserve">8.14 Administración, roles y permisos</w:t>
      </w:r>
    </w:p>
    <w:p>
      <w:pPr>
        <w:pBdr>
          <w:left w:val="single" w:color="19557B" w:sz="12" w:space="8"/>
        </w:pBdr>
        <w:spacing w:after="120"/>
        <w:ind w:left="360"/>
      </w:pPr>
      <w:r>
        <w:rPr>
          <w:i/>
          <w:iCs/>
          <w:color w:val="333333"/>
          <w:sz w:val="22"/>
          <w:szCs w:val="22"/>
        </w:rPr>
        <w:t xml:space="preserve">Administre empresas, usuarios, roles y permisos por módulo con un control de acceso granular. La asignación de cartera muestra en una sola pantalla cuántos clientes y procesos maneja cada gestor.</w:t>
      </w:r>
    </w:p>
    <w:p>
      <w:pPr>
        <w:pStyle w:val="Heading2"/>
        <w:spacing w:after="120" w:before="240"/>
      </w:pPr>
      <w:r>
        <w:t xml:space="preserve">8.15 Notificaciones multicanal</w:t>
      </w:r>
    </w:p>
    <w:p>
      <w:pPr>
        <w:pBdr>
          <w:left w:val="single" w:color="19557B" w:sz="12" w:space="8"/>
        </w:pBdr>
        <w:spacing w:after="120"/>
        <w:ind w:left="360"/>
      </w:pPr>
      <w:r>
        <w:rPr>
          <w:i/>
          <w:iCs/>
          <w:color w:val="333333"/>
          <w:sz w:val="22"/>
          <w:szCs w:val="22"/>
        </w:rPr>
        <w:t xml:space="preserve">Centro de notificaciones en la web, avisos por correo y notificaciones push en el móvil, para que ninguna novedad de la cartera pase desapercibida.</w:t>
      </w:r>
    </w:p>
    <w:p>
      <w:pPr>
        <w:pStyle w:val="Heading2"/>
        <w:spacing w:after="120" w:before="240"/>
      </w:pPr>
      <w:r>
        <w:t xml:space="preserve">8.16 Aplicación móvil renovada (trabajo de campo)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Puntos a destacar en la página de la app: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100 % operativa sin conexión: las gestiones se registran offline y se sincronizan automáticamente al recuperar señal, sin perder información.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Ruta de visitas optimizada con navegación guiada y contador de clientes pendientes.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Evidencia fotográfica con coordenadas GPS verificadas en cada gestión.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Resumen de cartera en la pantalla de inicio: procesos y gestiones del día a la vista.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Registro del recorrido dentro del horario laboral configurado por la empresa.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Acceso con biometría (huella / rostro) y modo noche.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Notificaciones push de nuevas asignaciones y actividades.</w:t>
      </w:r>
    </w:p>
    <w:p>
      <w:pPr>
        <w:pStyle w:val="Heading2"/>
        <w:spacing w:after="120" w:before="240"/>
      </w:pPr>
      <w:r>
        <w:t xml:space="preserve">8.17 Seguridad reforzada</w:t>
      </w:r>
    </w:p>
    <w:p>
      <w:pPr>
        <w:pBdr>
          <w:left w:val="single" w:color="19557B" w:sz="12" w:space="8"/>
        </w:pBdr>
        <w:spacing w:after="120"/>
        <w:ind w:left="360"/>
      </w:pPr>
      <w:r>
        <w:rPr>
          <w:i/>
          <w:iCs/>
          <w:color w:val="333333"/>
          <w:sz w:val="22"/>
          <w:szCs w:val="22"/>
        </w:rPr>
        <w:t xml:space="preserve">Autenticación basada en estándares abiertos (OAuth 2.0 / OpenID Connect), cifrado de credenciales de extremo a extremo, control de sesiones por horario y validación de cada operación en el servidor. La seguridad no es una capa: es el diseño.</w:t>
      </w:r>
    </w:p>
    <w:p>
      <w:pPr>
        <w:pStyle w:val="Heading1"/>
        <w:spacing w:after="160" w:before="320"/>
      </w:pPr>
      <w:r>
        <w:t xml:space="preserve">9. Clientes y alianzas</w:t>
      </w:r>
    </w:p>
    <w:p>
      <w:pPr>
        <w:spacing w:after="100"/>
      </w:pPr>
      <w:r>
        <w:rPr>
          <w:b/>
          <w:bCs/>
          <w:color w:val="19557B"/>
          <w:sz w:val="22"/>
          <w:szCs w:val="22"/>
        </w:rPr>
        <w:t xml:space="preserve">Encabezado: </w:t>
      </w:r>
      <w:r>
        <w:rPr>
          <w:sz w:val="22"/>
          <w:szCs w:val="22"/>
        </w:rPr>
        <w:t xml:space="preserve">Clientes que confían en nuestros servicios</w:t>
      </w:r>
    </w:p>
    <w:p>
      <w:pPr>
        <w:spacing w:after="120"/>
      </w:pPr>
      <w:r>
        <w:rPr>
          <w:sz w:val="22"/>
          <w:szCs w:val="22"/>
        </w:rPr>
        <w:t xml:space="preserve">Logos de clientes a mostrar (verificar vigencia y calidad de cada logo antes de publicar):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Latamtek · BM · Foro Visandes · DLA Law · Iustum Iure · Lexvalor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Mutualista Azuay · Lexsuit · Cambije · Glob Suit · Santa Isabel · CACPECO · ABH Recovery</w:t>
      </w:r>
    </w:p>
    <w:p>
      <w:pPr>
        <w:spacing w:after="120"/>
      </w:pPr>
      <w:r>
        <w:rPr>
          <w:sz w:val="22"/>
          <w:szCs w:val="22"/>
        </w:rPr>
        <w:t xml:space="preserve">Alianzas (pie de página):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Latamtek S.A. · Lexsuit · Cambije · PRODEUTEQ-EP</w:t>
      </w:r>
    </w:p>
    <w:p>
      <w:pPr>
        <w:pStyle w:val="Heading1"/>
        <w:spacing w:after="160" w:before="320"/>
      </w:pPr>
      <w:r>
        <w:t xml:space="preserve">10. Planes</w:t>
      </w:r>
    </w:p>
    <w:p>
      <w:pPr>
        <w:spacing w:after="100"/>
      </w:pPr>
      <w:r>
        <w:rPr>
          <w:b/>
          <w:bCs/>
          <w:color w:val="19557B"/>
          <w:sz w:val="22"/>
          <w:szCs w:val="22"/>
        </w:rPr>
        <w:t xml:space="preserve">Encabezado: </w:t>
      </w:r>
      <w:r>
        <w:rPr>
          <w:sz w:val="22"/>
          <w:szCs w:val="22"/>
        </w:rPr>
        <w:t xml:space="preserve">Conoce nuestros planes</w:t>
      </w:r>
    </w:p>
    <w:p>
      <w:pPr>
        <w:pBdr>
          <w:left w:val="single" w:color="19557B" w:sz="12" w:space="8"/>
        </w:pBdr>
        <w:spacing w:after="120"/>
        <w:ind w:left="360"/>
      </w:pPr>
      <w:r>
        <w:rPr>
          <w:i/>
          <w:iCs/>
          <w:color w:val="333333"/>
          <w:sz w:val="22"/>
          <w:szCs w:val="22"/>
        </w:rPr>
        <w:t xml:space="preserve">Tu inversión merece resultados específicos. Obtén el beneficio total de nuestro equipo de expertos en una solución diseñada solo para ti.</w:t>
      </w:r>
    </w:p>
    <w:p>
      <w:pPr>
        <w:spacing w:after="100"/>
      </w:pPr>
      <w:r>
        <w:rPr>
          <w:b/>
          <w:bCs/>
          <w:color w:val="19557B"/>
          <w:sz w:val="22"/>
          <w:szCs w:val="22"/>
        </w:rPr>
        <w:t xml:space="preserve">Botón: </w:t>
      </w:r>
      <w:r>
        <w:rPr>
          <w:sz w:val="22"/>
          <w:szCs w:val="22"/>
        </w:rPr>
        <w:t xml:space="preserve">«Ver planes»</w:t>
      </w:r>
    </w:p>
    <w:p>
      <w:pPr>
        <w:spacing w:after="120"/>
      </w:pPr>
      <w:r>
        <w:rPr>
          <w:sz w:val="22"/>
          <w:szCs w:val="22"/>
        </w:rPr>
        <w:t xml:space="preserve">Sugerencia: publicar los planes con los módulos que incluye cada uno (web, móvil, GPS Cobranza, Riesgo Judicial IA) para aprovechar el catálogo de la sección 8.</w:t>
      </w:r>
    </w:p>
    <w:p>
      <w:pPr>
        <w:pStyle w:val="Heading1"/>
        <w:spacing w:after="160" w:before="320"/>
      </w:pPr>
      <w:r>
        <w:t xml:space="preserve">11. Contacto, redes y datos legales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1955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Dato</w:t>
            </w:r>
          </w:p>
        </w:tc>
        <w:tc>
          <w:tcPr>
            <w:tcW w:type="dxa" w:w="6026"/>
            <w:shd w:fill="1955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WhatsApp</w:t>
            </w:r>
          </w:p>
        </w:tc>
        <w:tc>
          <w:tcPr>
            <w:tcW w:type="dxa" w:w="60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+593 99 813 3900 · +593 98 783 5870</w:t>
            </w:r>
          </w:p>
        </w:tc>
      </w:tr>
      <w:tr>
        <w:tc>
          <w:tcPr>
            <w:tcW w:type="dxa" w:w="3000"/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Facebook</w:t>
            </w:r>
          </w:p>
        </w:tc>
        <w:tc>
          <w:tcPr>
            <w:tcW w:type="dxa" w:w="6026"/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facebook.com/nexcitus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Instagram</w:t>
            </w:r>
          </w:p>
        </w:tc>
        <w:tc>
          <w:tcPr>
            <w:tcW w:type="dxa" w:w="60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@nexcitus</w:t>
            </w:r>
          </w:p>
        </w:tc>
      </w:tr>
      <w:tr>
        <w:tc>
          <w:tcPr>
            <w:tcW w:type="dxa" w:w="3000"/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Acceso a la plataforma</w:t>
            </w:r>
          </w:p>
        </w:tc>
        <w:tc>
          <w:tcPr>
            <w:tcW w:type="dxa" w:w="6026"/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Botón «Ingresar» (hoy: legalsat.com)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Páginas legales</w:t>
            </w:r>
          </w:p>
        </w:tc>
        <w:tc>
          <w:tcPr>
            <w:tcW w:type="dxa" w:w="60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Términos y condiciones · Política de privacidad</w:t>
            </w:r>
          </w:p>
        </w:tc>
      </w:tr>
      <w:tr>
        <w:tc>
          <w:tcPr>
            <w:tcW w:type="dxa" w:w="3000"/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Copyright</w:t>
            </w:r>
          </w:p>
        </w:tc>
        <w:tc>
          <w:tcPr>
            <w:tcW w:type="dxa" w:w="6026"/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© Nexcitus 2026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t xml:space="preserve">Sección de cierre</w:t>
      </w:r>
    </w:p>
    <w:p>
      <w:pPr>
        <w:spacing w:after="100"/>
      </w:pPr>
      <w:r>
        <w:rPr>
          <w:b/>
          <w:bCs/>
          <w:color w:val="19557B"/>
          <w:sz w:val="22"/>
          <w:szCs w:val="22"/>
        </w:rPr>
        <w:t xml:space="preserve">Encabezado: </w:t>
      </w:r>
      <w:r>
        <w:rPr>
          <w:sz w:val="22"/>
          <w:szCs w:val="22"/>
        </w:rPr>
        <w:t xml:space="preserve">¿Listo para comenzar?</w:t>
      </w:r>
    </w:p>
    <w:p>
      <w:pPr>
        <w:spacing w:after="100"/>
      </w:pPr>
      <w:r>
        <w:rPr>
          <w:b/>
          <w:bCs/>
          <w:color w:val="19557B"/>
          <w:sz w:val="22"/>
          <w:szCs w:val="22"/>
        </w:rPr>
        <w:t xml:space="preserve">Texto: </w:t>
      </w:r>
      <w:r>
        <w:rPr>
          <w:sz w:val="22"/>
          <w:szCs w:val="22"/>
        </w:rPr>
        <w:t xml:space="preserve">Contáctate con nosotros para comenzar y conocer más.</w:t>
      </w:r>
    </w:p>
    <w:p>
      <w:pPr>
        <w:spacing w:after="100"/>
      </w:pPr>
      <w:r>
        <w:rPr>
          <w:b/>
          <w:bCs/>
          <w:color w:val="19557B"/>
          <w:sz w:val="22"/>
          <w:szCs w:val="22"/>
        </w:rPr>
        <w:t xml:space="preserve">Botón: </w:t>
      </w:r>
      <w:r>
        <w:rPr>
          <w:sz w:val="22"/>
          <w:szCs w:val="22"/>
        </w:rPr>
        <w:t xml:space="preserve">«¡Lo quiero!»</w:t>
      </w:r>
    </w:p>
    <w:p>
      <w:pPr>
        <w:pStyle w:val="Heading1"/>
        <w:spacing w:after="160" w:before="320"/>
      </w:pPr>
      <w:r>
        <w:t xml:space="preserve">12. Llamadas a la acción (unificadas en español)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shd w:fill="1955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Ubicación</w:t>
            </w:r>
          </w:p>
        </w:tc>
        <w:tc>
          <w:tcPr>
            <w:tcW w:type="dxa" w:w="4826"/>
            <w:shd w:fill="1955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Texto sugerido</w:t>
            </w:r>
          </w:p>
        </w:tc>
      </w:tr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Hero de inicio</w:t>
            </w:r>
          </w:p>
        </w:tc>
        <w:tc>
          <w:tcPr>
            <w:tcW w:type="dxa" w:w="48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Conocer más</w:t>
            </w:r>
          </w:p>
        </w:tc>
      </w:tr>
      <w:tr>
        <w:tc>
          <w:tcPr>
            <w:tcW w:type="dxa" w:w="4200"/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Secciones de producto</w:t>
            </w:r>
          </w:p>
        </w:tc>
        <w:tc>
          <w:tcPr>
            <w:tcW w:type="dxa" w:w="4826"/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Saber más</w:t>
            </w:r>
          </w:p>
        </w:tc>
      </w:tr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Riesgo Judicial (IA)</w:t>
            </w:r>
          </w:p>
        </w:tc>
        <w:tc>
          <w:tcPr>
            <w:tcW w:type="dxa" w:w="48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Contáctanos</w:t>
            </w:r>
          </w:p>
        </w:tc>
      </w:tr>
      <w:tr>
        <w:tc>
          <w:tcPr>
            <w:tcW w:type="dxa" w:w="4200"/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Planes</w:t>
            </w:r>
          </w:p>
        </w:tc>
        <w:tc>
          <w:tcPr>
            <w:tcW w:type="dxa" w:w="4826"/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 planes</w:t>
            </w:r>
          </w:p>
        </w:tc>
      </w:tr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Cierre de página</w:t>
            </w:r>
          </w:p>
        </w:tc>
        <w:tc>
          <w:tcPr>
            <w:tcW w:type="dxa" w:w="48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¡Lo quiero! / Solicitar una demo</w:t>
            </w:r>
          </w:p>
        </w:tc>
      </w:tr>
      <w:tr>
        <w:tc>
          <w:tcPr>
            <w:tcW w:type="dxa" w:w="4200"/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Página de la app móvil</w:t>
            </w:r>
          </w:p>
        </w:tc>
        <w:tc>
          <w:tcPr>
            <w:tcW w:type="dxa" w:w="4826"/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Descargar en Google Play / App Store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i/>
          <w:iCs/>
          <w:sz w:val="22"/>
          <w:szCs w:val="22"/>
        </w:rPr>
        <w:t xml:space="preserve">Nota: en el sitio actual conviven «Learn more», «Saber más...» y «Ver mas planes»; unificar todo en español y sin puntos suspensivos.</w:t>
      </w:r>
    </w:p>
    <w:p>
      <w:pPr>
        <w:pStyle w:val="Heading1"/>
        <w:spacing w:after="160" w:before="320"/>
      </w:pPr>
      <w:r>
        <w:t xml:space="preserve">13. Recomendaciones para la nueva web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Crear una página «Plataforma» con los módulos de la sección 8 y capturas reales del sistema (modo claro y modo noche).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Crear una página propia para la aplicación móvil con los puntos de la sección 8.16 y enlaces a las tiendas.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Destacar el diferenciador de IA (Riesgo Judicial) como página independiente: es el contenido más sólido del sitio actual.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Añadir un formulario de contacto / solicitud de demo (además del botón de WhatsApp).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Incluir testimonios o casos de éxito de los clientes listados en la sección 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Corregir la ortografía del sitio actual (los textos de este documento ya están corregidos).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Palabras clave sugeridas para SEO: software de cobranzas, recuperación de cartera, gestión judicial, legaltech, riesgo judicial con inteligencia artificial, software para abogados, cobranza en campo con GPS, app de cobranza offline.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Mantener el azul de marca #19557B en botones y titulares para dar continuidad visual entre la web y la plataforma.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9557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6E9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2026-08-06T21:53:25.589Z</dcterms:created>
  <dcterms:modified xsi:type="dcterms:W3CDTF">2026-08-06T21:53:25.589Z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