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ROLE CARDS · INTAKE · CUT ALONG THE BORDERS · ONE SET PER ROOM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Three Worthy Requests, Capacity for One</w:t>
      </w:r>
    </w:p>
    <w:p>
      <w:pPr>
        <w:spacing w:after="120"/>
      </w:pPr>
      <w:r>
        <w:rPr>
          <w:color w:val="4A4E70"/>
          <w:sz w:val="19"/>
          <w:szCs w:val="19"/>
        </w:rPr>
        <w:t xml:space="preserve">Five roles, full coverage: every person plays a role and every role is played. Share or double up as needed. First names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THREE WORTHY REQUESTS, CAPACITY FOR ONE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Doctor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any of the three does to patient care and clinician time.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a winner chosen without a clinical voice in the ranking.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whether clinicians adopt what gets built.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triage nurses drafted their request after two near-miss callbacks last quarter — they see it as a safety tool, not a convenience.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chair's last department pilot quietly consumed 0.2 FTE of clinic time in “optional” validation work.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THREE WORTHY REQUESTS, CAPACITY FOR ONE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Security Guard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risk each request carries into the building.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any winner starting before its data exposure is tiered.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incidents, and the review queue's length.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security review queue is actually 9 weeks, not 6 — the memo predates a resignation.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Apex Health AI's standard contract routes de-identified text through a subprocessor in a jurisdiction Legal has flagged before.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THREE WORTHY REQUESTS, CAPACITY FOR ONE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Money Manager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each path costs at build, at scale, at renewal.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“free” anything without the renewal terms in writing.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variance. Unfunded surprises land on you.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environment's build budget this year is $180K — less than one OncoScribe annual license at list price.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chair's grant has a 20% institutional overhead the department has not budgeted.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THREE WORTHY REQUESTS, CAPACITY FOR ONE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AI Guru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each tool actually does versus what its slide says.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ranking on vendor-reported ROI without a local denominator.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whether what ships works.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OncoScribe's “30-day go-live” assumes an EHR integration pattern CoH's configuration does not support — realistic estimate is 4 months.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nurse-line assistant is technically the simplest of the three by an order of magnitude.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THREE WORTHY REQUESTS, CAPACITY FOR ONE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Competitive Marketing Leader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the outside world hears, and when.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claims that outrun evidence under the institution's name.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reputation among peers, which is slow to build and fast to spend.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two peer institutions evaluated OncoScribe and passed; neither said so publicly.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a reporter has a standing query about AI in cancer care and will print the first concrete thing anyone gives them.</w:t>
            </w:r>
          </w:p>
        </w:tc>
      </w:tr>
    </w:tbl>
    <w:p>
      <w:pPr>
        <w:spacing w:after="160"/>
      </w:pPr>
      <w:r>
        <w:t xml:space="preserve"> 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ROLE CARDS · EVALUATION · CUT ALONG THE BORDERS · ONE SET PER ROOM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Approved in Principle, Stuck in Evaluation</w:t>
      </w:r>
    </w:p>
    <w:p>
      <w:pPr>
        <w:spacing w:after="120"/>
      </w:pPr>
      <w:r>
        <w:rPr>
          <w:color w:val="4A4E70"/>
          <w:sz w:val="19"/>
          <w:szCs w:val="19"/>
        </w:rPr>
        <w:t xml:space="preserve">Five roles, full coverage: every person plays a role and every role is played. Share or double up as needed. First names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APPROVED IN PRINCIPLE, STUCK IN EVALUATION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Doctor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PathAssist does to diagnostic quality and resident training.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an evaluation that measures workload but not learning.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outcomes, and the pathologists' trust in what gets deployed.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Dr. Osei asked Dr. Renner for protected validation time twice and was told “keep it informal for now.”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two residents already use the sandbox output as a study aid, unofficially.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APPROVED IN PRINCIPLE, STUCK IN EVALUATION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Security Guard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sandbox data exposure and vendor disclosure completeness.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continuing the sandbox with the disclosure checklist half-answered.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what leaves the building, and what enters it unexamined.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vendor's “de-identified” pipeline was audited at a peer site and passed — but the audit excluded the model-training question entirely.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clause 11 (auto model updates) before anyone else at the table does.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APPROVED IN PRINCIPLE, STUCK IN EVALUATION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Money Manager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true cost of evaluation and the unbudgeted license behind it.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purchase language entering the evaluation by the back door.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variance, and renewal surprises.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PathAssist's list price would be the department's largest software line item — bigger than the microscopy service contract.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“pilot pricing lapses on expiry” means a 40% jump based on the vendor's published tiers.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APPROVED IN PRINCIPLE, STUCK IN EVALUATION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AI Guru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whether the evaluation would actually detect the failure modes that matter.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vendor-curated test sets as the evidence base.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whether what passes evaluation behaves in production.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Osei's 92.6% is against sign-out diagnosis — a defensible but generous comparator; against consensus re-review it would read lower.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false-flag rate (11%) is the number that will actually determine adoption, and nobody is talking about it.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APPROVED IN PRINCIPLE, STUCK IN EVALUATION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Competitive Marketing Leader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institution's name in the vendor's mouth.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“in active evaluation” being marketed while evaluation is undefined.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the gap between what's said and what's true.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vendor's conference booth lists the institution's logo under “evaluating partners.” Nobody here approved that.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a peer institution just published a PathAssist evaluation — methodology included — and it's better than anything this building has produced in seven months.</w:t>
            </w:r>
          </w:p>
        </w:tc>
      </w:tr>
    </w:tbl>
    <w:p>
      <w:pPr>
        <w:spacing w:after="160"/>
      </w:pPr>
      <w:r>
        <w:t xml:space="preserve"> 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ROLE CARDS · DEPLOYMENT · CUT ALONG THE BORDERS · ONE SET PER ROOM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Worked at One Site, Now Being Scaled</w:t>
      </w:r>
    </w:p>
    <w:p>
      <w:pPr>
        <w:spacing w:after="120"/>
      </w:pPr>
      <w:r>
        <w:rPr>
          <w:color w:val="4A4E70"/>
          <w:sz w:val="19"/>
          <w:szCs w:val="19"/>
        </w:rPr>
        <w:t xml:space="preserve">Five roles, full coverage: every person plays a role and every role is played. Share or double up as needed. First names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WORKED AT ONE SITE, NOW BEING SCALED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Doctor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discharge predictions do to clinical judgment at four different sites.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scale claims built on one site's uncontrolled before/after.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outcomes, and whether huddles stay clinical or become dashboard-readings.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Site H's LOS drop began the month the huddle format changed — one month before BedFlow's thresholds were even tuned.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two main-campus hospitalists have already labeled BedFlow “the bed police” in group chat. Adoption is pre-poisoned.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WORKED AT ONE SITE, NOW BEING SCALED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Security Guard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scale multiplies — access, integration surface, config drift.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the Site H tier traveling unexamined to a different EHR configuration.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incidents, and unlogged human overrides of automated recommendations.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12% override-log completeness at Site H would fail the audit standard applied to every other clinical decision tool in the building.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vendor's remap estimate (6 weeks) excludes validation — mapped is not verified.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WORKED AT ONE SITE, NOW BEING SCALED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Money Manager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full scale bill — license ×4, integration, training, the human roles.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operating commitments made on grant money's ghost.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variance, and orphaned licenses.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vendor's enterprise pricing has a 4-site minimum — dropping a site later saves almost nothing.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innovation fund already carries two bridged tools, and the bridge fund's own review calls it “the hospice.”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WORKED AT ONE SITE, NOW BEING SCALED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AI Guru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whether BedFlow's model survives a different config, census regime, and culture.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calling threshold-tuning-by-notebook “the same tool” as untuned deployment.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whether what ships behaves like what was demonstrated.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model was trained on community-hospital census patterns; main campus's census regime is outside its training distribution most winters.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Marisol's Monday adjustment corrects a real, reproducible model bias the vendor has never acknowledged.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WORKED AT ONE SITE, NOW BEING SCALED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Competitive Marketing Leader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enterprise story, and the distance between it and the floor.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“breakthrough” as a description of one uncontrolled site result.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peer credibility, which retracts louder than it prints.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executive quote in the draft is attributed to someone who hasn't seen the draft.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a health-tech reporter has been asking Site H nurses for interviews on LinkedIn. One said yes, then unsent it.</w:t>
            </w:r>
          </w:p>
        </w:tc>
      </w:tr>
    </w:tbl>
    <w:p>
      <w:pPr>
        <w:spacing w:after="160"/>
      </w:pPr>
      <w:r>
        <w:t xml:space="preserve"> 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ROLE CARDS · MONITORING · CUT ALONG THE BORDERS · ONE SET PER ROOM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Live a Year, Drifted, Spread Beyond Approval</w:t>
      </w:r>
    </w:p>
    <w:p>
      <w:pPr>
        <w:spacing w:after="120"/>
      </w:pPr>
      <w:r>
        <w:rPr>
          <w:color w:val="4A4E70"/>
          <w:sz w:val="19"/>
          <w:szCs w:val="19"/>
        </w:rPr>
        <w:t xml:space="preserve">Five roles, full coverage: every person plays a role and every role is played. Share or double up as needed. First names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LIVE A YEAR, DRIFTED, SPREAD BEYOND APPROVAL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Doctor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ChartPilot's summaries do to clinical decisions in three clinics.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continued expansion before the omission findings are bottomed out.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patient outcomes, and whether clinicians trust the chart.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two of the three flagged omissions involved lab trends that changed treatment timing — no harm, but only because someone double-checked.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Clinic A's physicians now skim primary notes less since ChartPilot arrived. Nobody has measured this. You've watched it.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LIVE A YEAR, DRIFTED, SPREAD BEYOND APPROVAL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Security Guard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an unreviewed model reading and writing clinical notes at scale.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any path with no named risk acceptor while review is pending.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incidents, and time-to-contain when something goes wrong.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shutting ChartPilot off requires a vendor support ticket — SLA 24 hours, best observed 19.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CP-3.4's release notes mention “expanded training data sources” that were never disclosed for review.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LIVE A YEAR, DRIFTED, SPREAD BEYOND APPROVAL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Money Manager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the renewal, the +38%, and the monitoring module everyone suddenly wants.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auto-renew executing by default on the vendor's terms.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variance, and licenses that outlive their sponsors.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auto-renew notice deadline is 30 days out — inside the re-review's likely timeline. Doing nothing is signing.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usage tripled but the license is seat-based: the price rise is contractual escalation, not usage. There's negotiating room nobody has used.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LIVE A YEAR, DRIFTED, SPREAD BEYOND APPROVAL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AI Guru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CP-2.1 → CP-3.4 actually changed, and what CP-4.0 will.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treating model versions as interchangeable in any review.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whether deployed behavior matches evaluated behavior.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omission pattern in the quality sample matches a known CP-3.x summarization regression discussed openly in the vendor's user forum.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PilotWatch — the monitoring module — would have caught the version drift a year ago. The vendor unbundled it deliberately.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122D" w:sz="12"/>
              <w:left w:val="single" w:color="10122D" w:sz="12"/>
              <w:bottom w:val="single" w:color="10122D" w:sz="12"/>
              <w:right w:val="single" w:color="10122D" w:sz="12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87DB7"/>
                <w:sz w:val="16"/>
                <w:szCs w:val="16"/>
              </w:rPr>
              <w:t xml:space="preserve">ROLE CARD · LIVE A YEAR, DRIFTED, SPREAD BEYOND APPROVAL</w:t>
            </w:r>
          </w:p>
          <w:p>
            <w:pPr>
              <w:spacing w:after="80"/>
            </w:pPr>
            <w:r>
              <w:rPr>
                <w:b/>
                <w:bCs/>
                <w:color w:val="10122D"/>
                <w:sz w:val="32"/>
                <w:szCs w:val="32"/>
              </w:rPr>
              <w:t xml:space="preserve">The Competitive Marketing Leader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Responsible for: what “we run AI documentation” means when peers and press ask.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Cannot agree to: external claims about a tool currently outside its own approval.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Measured on: credibility, especially in a walk-back.</w:t>
            </w:r>
          </w:p>
          <w:p>
            <w:pPr>
              <w:pBdr>
                <w:top w:val="dashed" w:color="A24F2C" w:sz="8"/>
              </w:pBdr>
              <w:spacing w:after="50" w:before="120"/>
            </w:pPr>
            <w:r>
              <w:rPr>
                <w:rFonts w:ascii="Consolas" w:cs="Consolas" w:eastAsia="Consolas" w:hAnsi="Consolas"/>
                <w:color w:val="A24F2C"/>
                <w:sz w:val="16"/>
                <w:szCs w:val="16"/>
              </w:rPr>
              <w:t xml:space="preserve">ONLY YOU KNOW THIS — BRING IT WHEN IT MATTERS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the vendor's website lists the institution as a “scaled deployment” case study. The approval said one clinic, six months.</w:t>
            </w:r>
          </w:p>
          <w:p>
            <w:pPr>
              <w:spacing w:after="50"/>
              <w:ind w:left="240" w:hanging="240"/>
            </w:pPr>
            <w:r>
              <w:rPr>
                <w:sz w:val="21"/>
                <w:szCs w:val="21"/>
              </w:rPr>
              <w:t xml:space="preserve">–  </w:t>
            </w:r>
            <w:r>
              <w:rPr>
                <w:color w:val="10122D"/>
                <w:sz w:val="21"/>
                <w:szCs w:val="21"/>
              </w:rPr>
              <w:t xml:space="preserve">You know a peer CMIO asked about ChartPilot at a conference last month, and the colleague who answered described the three-clinic footprint as intentional.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before="24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Tabletop · Virtual Insights · fictional composite — no real cases, no patient data, first names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2026-09-24T02:54:20.482Z</dcterms:created>
  <dcterms:modified xsi:type="dcterms:W3CDTF">2026-09-24T02:54:20.482Z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