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DE84A" w14:textId="77777777" w:rsidR="00AA2AF7" w:rsidRPr="00EA556A" w:rsidRDefault="00AA2AF7" w:rsidP="00AA2AF7">
      <w:pPr>
        <w:keepNext/>
        <w:spacing w:line="276" w:lineRule="auto"/>
        <w:rPr>
          <w:rFonts w:ascii="Arial" w:hAnsi="Arial" w:cs="Arial"/>
          <w:b/>
          <w:bCs/>
        </w:rPr>
      </w:pPr>
      <w:r w:rsidRPr="00EA556A">
        <w:rPr>
          <w:rFonts w:ascii="Arial" w:hAnsi="Arial" w:cs="Arial"/>
          <w:b/>
          <w:bCs/>
        </w:rPr>
        <w:t xml:space="preserve">GENE </w:t>
      </w:r>
      <w:r w:rsidRPr="00EA556A">
        <w:rPr>
          <w:rFonts w:ascii="Arial" w:hAnsi="Arial" w:cs="Arial"/>
          <w:b/>
          <w:bCs/>
          <w:i/>
          <w:iCs/>
        </w:rPr>
        <w:t>KP32gp37</w:t>
      </w:r>
    </w:p>
    <w:p w14:paraId="6645363F" w14:textId="77A87CF7" w:rsidR="00AA2AF7" w:rsidRPr="00EA556A" w:rsidRDefault="00AA2AF7" w:rsidP="00AA2AF7">
      <w:pPr>
        <w:keepNext/>
        <w:spacing w:line="276" w:lineRule="auto"/>
        <w:rPr>
          <w:rFonts w:ascii="Arial" w:hAnsi="Arial" w:cs="Arial"/>
        </w:rPr>
      </w:pPr>
      <w:r w:rsidRPr="00EA556A">
        <w:rPr>
          <w:rFonts w:ascii="Arial" w:hAnsi="Arial" w:cs="Arial"/>
        </w:rPr>
        <w:t xml:space="preserve">O gene </w:t>
      </w:r>
      <w:r w:rsidRPr="00EA556A">
        <w:rPr>
          <w:rFonts w:ascii="Arial" w:hAnsi="Arial" w:cs="Arial"/>
          <w:i/>
          <w:iCs/>
        </w:rPr>
        <w:t>KP32gp37</w:t>
      </w:r>
      <w:r w:rsidRPr="00EA556A">
        <w:rPr>
          <w:rFonts w:ascii="Arial" w:hAnsi="Arial" w:cs="Arial"/>
        </w:rPr>
        <w:t xml:space="preserve"> possui uma dimensão de 2610 nucleótidos. Este gene está localizado na cadeia 1 (</w:t>
      </w:r>
      <w:proofErr w:type="spellStart"/>
      <w:r w:rsidRPr="00EA556A">
        <w:rPr>
          <w:rFonts w:ascii="Arial" w:hAnsi="Arial" w:cs="Arial"/>
          <w:i/>
          <w:iCs/>
        </w:rPr>
        <w:t>strand</w:t>
      </w:r>
      <w:proofErr w:type="spellEnd"/>
      <w:r w:rsidRPr="00EA556A">
        <w:rPr>
          <w:rFonts w:ascii="Arial" w:hAnsi="Arial" w:cs="Arial"/>
          <w:i/>
          <w:iCs/>
        </w:rPr>
        <w:t xml:space="preserve"> 1</w:t>
      </w:r>
      <w:r w:rsidRPr="00EA556A">
        <w:rPr>
          <w:rFonts w:ascii="Arial" w:hAnsi="Arial" w:cs="Arial"/>
        </w:rPr>
        <w:t xml:space="preserve">) do cromossoma NC_013647.1 do fago KP32 de </w:t>
      </w:r>
      <w:proofErr w:type="spellStart"/>
      <w:r w:rsidRPr="00EA556A">
        <w:rPr>
          <w:rFonts w:ascii="Arial" w:hAnsi="Arial" w:cs="Arial"/>
          <w:i/>
          <w:iCs/>
        </w:rPr>
        <w:t>Klebsiella</w:t>
      </w:r>
      <w:proofErr w:type="spellEnd"/>
      <w:r w:rsidRPr="00EA556A">
        <w:rPr>
          <w:rFonts w:ascii="Arial" w:hAnsi="Arial" w:cs="Arial"/>
        </w:rPr>
        <w:t>, compreendendo a região da posição inicial 33420 à posição final 36029.</w:t>
      </w:r>
      <w:r w:rsidR="00812F70" w:rsidRPr="00EA556A">
        <w:rPr>
          <w:rFonts w:ascii="Arial" w:hAnsi="Arial" w:cs="Arial"/>
        </w:rPr>
        <w:t xml:space="preserve"> Encontra-se disponível no NCBI sob o </w:t>
      </w:r>
      <w:r w:rsidR="00812F70" w:rsidRPr="00EA556A">
        <w:rPr>
          <w:rFonts w:ascii="Arial" w:hAnsi="Arial" w:cs="Arial"/>
          <w:i/>
          <w:iCs/>
        </w:rPr>
        <w:t>Gene ID</w:t>
      </w:r>
      <w:r w:rsidR="00812F70" w:rsidRPr="00EA556A">
        <w:rPr>
          <w:rFonts w:ascii="Arial" w:hAnsi="Arial" w:cs="Arial"/>
        </w:rPr>
        <w:t xml:space="preserve"> 8676101.</w:t>
      </w:r>
      <w:r w:rsidRPr="00EA556A">
        <w:rPr>
          <w:rFonts w:ascii="Arial" w:hAnsi="Arial" w:cs="Arial"/>
        </w:rPr>
        <w:t xml:space="preserve"> Por não possuir intrões, a totalidade da sua sequência </w:t>
      </w:r>
      <w:proofErr w:type="spellStart"/>
      <w:r w:rsidRPr="00EA556A">
        <w:rPr>
          <w:rFonts w:ascii="Arial" w:hAnsi="Arial" w:cs="Arial"/>
        </w:rPr>
        <w:t>nucleotídica</w:t>
      </w:r>
      <w:proofErr w:type="spellEnd"/>
      <w:r w:rsidRPr="00EA556A">
        <w:rPr>
          <w:rFonts w:ascii="Arial" w:hAnsi="Arial" w:cs="Arial"/>
        </w:rPr>
        <w:t xml:space="preserve"> é utilizada na tradução para proteína. </w:t>
      </w:r>
    </w:p>
    <w:p w14:paraId="083F0726" w14:textId="7A5E5E57" w:rsidR="00AA2AF7" w:rsidRPr="00EA556A" w:rsidRDefault="00AA2AF7" w:rsidP="00AA2AF7">
      <w:pPr>
        <w:keepNext/>
        <w:spacing w:line="276" w:lineRule="auto"/>
        <w:rPr>
          <w:rFonts w:ascii="Arial" w:hAnsi="Arial" w:cs="Arial"/>
        </w:rPr>
      </w:pPr>
      <w:r w:rsidRPr="00EA556A">
        <w:rPr>
          <w:rFonts w:ascii="Arial" w:hAnsi="Arial" w:cs="Arial"/>
        </w:rPr>
        <w:t xml:space="preserve">O gene </w:t>
      </w:r>
      <w:r w:rsidRPr="00EA556A">
        <w:rPr>
          <w:rFonts w:ascii="Arial" w:hAnsi="Arial" w:cs="Arial"/>
          <w:i/>
          <w:iCs/>
        </w:rPr>
        <w:t>KP32gp37</w:t>
      </w:r>
      <w:r w:rsidRPr="00EA556A">
        <w:rPr>
          <w:rFonts w:ascii="Arial" w:hAnsi="Arial" w:cs="Arial"/>
        </w:rPr>
        <w:t xml:space="preserve"> codifica uma proteína formada por 869 aminoácidos. Foi determinado que, embora o peso molecular teórico seja superior (95,35 </w:t>
      </w:r>
      <w:proofErr w:type="spellStart"/>
      <w:r w:rsidRPr="00EA556A">
        <w:rPr>
          <w:rFonts w:ascii="Arial" w:hAnsi="Arial" w:cs="Arial"/>
        </w:rPr>
        <w:t>kDa</w:t>
      </w:r>
      <w:proofErr w:type="spellEnd"/>
      <w:r w:rsidRPr="00EA556A">
        <w:rPr>
          <w:rFonts w:ascii="Arial" w:hAnsi="Arial" w:cs="Arial"/>
        </w:rPr>
        <w:t xml:space="preserve">), a proteína madura apresenta um tamanho estimado de 83 </w:t>
      </w:r>
      <w:proofErr w:type="spellStart"/>
      <w:r w:rsidRPr="00EA556A">
        <w:rPr>
          <w:rFonts w:ascii="Arial" w:hAnsi="Arial" w:cs="Arial"/>
        </w:rPr>
        <w:t>kDa</w:t>
      </w:r>
      <w:proofErr w:type="spellEnd"/>
      <w:r w:rsidRPr="00EA556A">
        <w:rPr>
          <w:rFonts w:ascii="Arial" w:hAnsi="Arial" w:cs="Arial"/>
        </w:rPr>
        <w:t xml:space="preserve"> devido ao processamento pós-tradução, no qual uma parte do domínio C-terminal é removida (</w:t>
      </w:r>
      <w:proofErr w:type="spellStart"/>
      <w:r w:rsidR="00EA556A" w:rsidRPr="002857A2">
        <w:rPr>
          <w:rFonts w:ascii="Arial" w:hAnsi="Arial" w:cs="Arial"/>
        </w:rPr>
        <w:t>Pyra</w:t>
      </w:r>
      <w:proofErr w:type="spellEnd"/>
      <w:r w:rsidR="00EA556A" w:rsidRPr="002857A2">
        <w:rPr>
          <w:rFonts w:ascii="Arial" w:hAnsi="Arial" w:cs="Arial"/>
        </w:rPr>
        <w:t xml:space="preserve"> </w:t>
      </w:r>
      <w:proofErr w:type="spellStart"/>
      <w:r w:rsidR="00EA556A" w:rsidRPr="002857A2">
        <w:rPr>
          <w:rFonts w:ascii="Arial" w:hAnsi="Arial" w:cs="Arial"/>
        </w:rPr>
        <w:t>et</w:t>
      </w:r>
      <w:proofErr w:type="spellEnd"/>
      <w:r w:rsidR="00EA556A" w:rsidRPr="002857A2">
        <w:rPr>
          <w:rFonts w:ascii="Arial" w:hAnsi="Arial" w:cs="Arial"/>
        </w:rPr>
        <w:t xml:space="preserve"> al., 2017</w:t>
      </w:r>
      <w:r w:rsidR="00EA556A" w:rsidRPr="00EA556A">
        <w:rPr>
          <w:rFonts w:ascii="Arial" w:hAnsi="Arial" w:cs="Arial"/>
        </w:rPr>
        <w:t xml:space="preserve">; </w:t>
      </w:r>
      <w:proofErr w:type="spellStart"/>
      <w:r w:rsidRPr="00EA556A">
        <w:rPr>
          <w:rFonts w:ascii="Arial" w:hAnsi="Arial" w:cs="Arial"/>
        </w:rPr>
        <w:t>Majkowska-Skrobek</w:t>
      </w:r>
      <w:proofErr w:type="spellEnd"/>
      <w:r w:rsidRPr="00EA556A">
        <w:rPr>
          <w:rFonts w:ascii="Arial" w:hAnsi="Arial" w:cs="Arial"/>
        </w:rPr>
        <w:t xml:space="preserve"> </w:t>
      </w:r>
      <w:proofErr w:type="spellStart"/>
      <w:r w:rsidRPr="00EA556A">
        <w:rPr>
          <w:rFonts w:ascii="Arial" w:hAnsi="Arial" w:cs="Arial"/>
        </w:rPr>
        <w:t>et</w:t>
      </w:r>
      <w:proofErr w:type="spellEnd"/>
      <w:r w:rsidRPr="00EA556A">
        <w:rPr>
          <w:rFonts w:ascii="Arial" w:hAnsi="Arial" w:cs="Arial"/>
        </w:rPr>
        <w:t xml:space="preserve"> al., 2018). Esta proteína está disponível no NCBI sob o código YP_003347555.1 e na </w:t>
      </w:r>
      <w:proofErr w:type="spellStart"/>
      <w:r w:rsidRPr="00EA556A">
        <w:rPr>
          <w:rFonts w:ascii="Arial" w:hAnsi="Arial" w:cs="Arial"/>
        </w:rPr>
        <w:t>UniProtKB</w:t>
      </w:r>
      <w:proofErr w:type="spellEnd"/>
      <w:r w:rsidRPr="00EA556A">
        <w:rPr>
          <w:rFonts w:ascii="Arial" w:hAnsi="Arial" w:cs="Arial"/>
        </w:rPr>
        <w:t xml:space="preserve"> sob o código D1L2X0. Doravante, designaremos esta proteína por depolimerase 1.</w:t>
      </w:r>
    </w:p>
    <w:p w14:paraId="750204BC" w14:textId="05932E28" w:rsidR="00AA2AF7" w:rsidRPr="00EA556A" w:rsidRDefault="00AA2AF7" w:rsidP="00AA2AF7">
      <w:pPr>
        <w:keepNext/>
        <w:spacing w:line="276" w:lineRule="auto"/>
        <w:rPr>
          <w:rFonts w:ascii="Arial" w:hAnsi="Arial" w:cs="Arial"/>
        </w:rPr>
      </w:pPr>
      <w:r w:rsidRPr="00EA556A">
        <w:rPr>
          <w:rFonts w:ascii="Arial" w:hAnsi="Arial" w:cs="Arial"/>
        </w:rPr>
        <w:t xml:space="preserve">A depolimerase 1 é reconhecida como uma Proteína de Ligação ao Recetor (RBP – </w:t>
      </w:r>
      <w:proofErr w:type="spellStart"/>
      <w:r w:rsidRPr="00EA556A">
        <w:rPr>
          <w:rFonts w:ascii="Arial" w:hAnsi="Arial" w:cs="Arial"/>
          <w:i/>
          <w:iCs/>
        </w:rPr>
        <w:t>Receptor</w:t>
      </w:r>
      <w:proofErr w:type="spellEnd"/>
      <w:r w:rsidRPr="00EA556A">
        <w:rPr>
          <w:rFonts w:ascii="Arial" w:hAnsi="Arial" w:cs="Arial"/>
          <w:i/>
          <w:iCs/>
        </w:rPr>
        <w:t xml:space="preserve"> </w:t>
      </w:r>
      <w:proofErr w:type="spellStart"/>
      <w:r w:rsidRPr="00EA556A">
        <w:rPr>
          <w:rFonts w:ascii="Arial" w:hAnsi="Arial" w:cs="Arial"/>
          <w:i/>
          <w:iCs/>
        </w:rPr>
        <w:t>Binding</w:t>
      </w:r>
      <w:proofErr w:type="spellEnd"/>
      <w:r w:rsidRPr="00EA556A">
        <w:rPr>
          <w:rFonts w:ascii="Arial" w:hAnsi="Arial" w:cs="Arial"/>
          <w:i/>
          <w:iCs/>
        </w:rPr>
        <w:t xml:space="preserve"> </w:t>
      </w:r>
      <w:proofErr w:type="spellStart"/>
      <w:r w:rsidRPr="00EA556A">
        <w:rPr>
          <w:rFonts w:ascii="Arial" w:hAnsi="Arial" w:cs="Arial"/>
          <w:i/>
          <w:iCs/>
        </w:rPr>
        <w:t>Protein</w:t>
      </w:r>
      <w:proofErr w:type="spellEnd"/>
      <w:r w:rsidRPr="00EA556A">
        <w:rPr>
          <w:rFonts w:ascii="Arial" w:hAnsi="Arial" w:cs="Arial"/>
        </w:rPr>
        <w:t>) (</w:t>
      </w:r>
      <w:proofErr w:type="spellStart"/>
      <w:r w:rsidRPr="00EA556A">
        <w:rPr>
          <w:rFonts w:ascii="Arial" w:hAnsi="Arial" w:cs="Arial"/>
        </w:rPr>
        <w:t>Latka</w:t>
      </w:r>
      <w:proofErr w:type="spellEnd"/>
      <w:r w:rsidRPr="00EA556A">
        <w:rPr>
          <w:rFonts w:ascii="Arial" w:hAnsi="Arial" w:cs="Arial"/>
        </w:rPr>
        <w:t xml:space="preserve"> </w:t>
      </w:r>
      <w:proofErr w:type="spellStart"/>
      <w:r w:rsidRPr="00EA556A">
        <w:rPr>
          <w:rFonts w:ascii="Arial" w:hAnsi="Arial" w:cs="Arial"/>
        </w:rPr>
        <w:t>et</w:t>
      </w:r>
      <w:proofErr w:type="spellEnd"/>
      <w:r w:rsidRPr="00EA556A">
        <w:rPr>
          <w:rFonts w:ascii="Arial" w:hAnsi="Arial" w:cs="Arial"/>
        </w:rPr>
        <w:t xml:space="preserve"> al., 2019). Uma RBP é uma proteína que permite ao fago reconhecer o seu hospedeiro através da ligação a recetores na superfície celular, tais como a cápsula ou os </w:t>
      </w:r>
      <w:proofErr w:type="spellStart"/>
      <w:r w:rsidRPr="00EA556A">
        <w:rPr>
          <w:rFonts w:ascii="Arial" w:hAnsi="Arial" w:cs="Arial"/>
        </w:rPr>
        <w:t>lipopolissacáridos</w:t>
      </w:r>
      <w:proofErr w:type="spellEnd"/>
      <w:r w:rsidRPr="00EA556A">
        <w:rPr>
          <w:rFonts w:ascii="Arial" w:hAnsi="Arial" w:cs="Arial"/>
        </w:rPr>
        <w:t xml:space="preserve"> (LPS) (</w:t>
      </w:r>
      <w:proofErr w:type="spellStart"/>
      <w:r w:rsidRPr="00EA556A">
        <w:rPr>
          <w:rFonts w:ascii="Arial" w:hAnsi="Arial" w:cs="Arial"/>
        </w:rPr>
        <w:t>Nobrega</w:t>
      </w:r>
      <w:proofErr w:type="spellEnd"/>
      <w:r w:rsidRPr="00EA556A">
        <w:rPr>
          <w:rFonts w:ascii="Arial" w:hAnsi="Arial" w:cs="Arial"/>
        </w:rPr>
        <w:t xml:space="preserve"> </w:t>
      </w:r>
      <w:proofErr w:type="spellStart"/>
      <w:r w:rsidRPr="00EA556A">
        <w:rPr>
          <w:rFonts w:ascii="Arial" w:hAnsi="Arial" w:cs="Arial"/>
        </w:rPr>
        <w:t>et</w:t>
      </w:r>
      <w:proofErr w:type="spellEnd"/>
      <w:r w:rsidRPr="00EA556A">
        <w:rPr>
          <w:rFonts w:ascii="Arial" w:hAnsi="Arial" w:cs="Arial"/>
        </w:rPr>
        <w:t xml:space="preserve"> al., 2018; </w:t>
      </w:r>
      <w:proofErr w:type="spellStart"/>
      <w:r w:rsidRPr="00EA556A">
        <w:rPr>
          <w:rFonts w:ascii="Arial" w:hAnsi="Arial" w:cs="Arial"/>
        </w:rPr>
        <w:t>Klumpp</w:t>
      </w:r>
      <w:proofErr w:type="spellEnd"/>
      <w:r w:rsidRPr="00EA556A">
        <w:rPr>
          <w:rFonts w:ascii="Arial" w:hAnsi="Arial" w:cs="Arial"/>
        </w:rPr>
        <w:t xml:space="preserve"> </w:t>
      </w:r>
      <w:proofErr w:type="spellStart"/>
      <w:r w:rsidRPr="00EA556A">
        <w:rPr>
          <w:rFonts w:ascii="Arial" w:hAnsi="Arial" w:cs="Arial"/>
        </w:rPr>
        <w:t>et</w:t>
      </w:r>
      <w:proofErr w:type="spellEnd"/>
      <w:r w:rsidRPr="00EA556A">
        <w:rPr>
          <w:rFonts w:ascii="Arial" w:hAnsi="Arial" w:cs="Arial"/>
        </w:rPr>
        <w:t xml:space="preserve"> al., 2023). Este tipo de proteína é responsável, num primeiro contacto, por determinar quais as bactérias suscetíveis de serem hospedeiros para os fagos, baseando-se na sua capacidade de ligação a estes elementos de superfície (</w:t>
      </w:r>
      <w:proofErr w:type="spellStart"/>
      <w:r w:rsidRPr="00EA556A">
        <w:rPr>
          <w:rFonts w:ascii="Arial" w:hAnsi="Arial" w:cs="Arial"/>
        </w:rPr>
        <w:t>Klumpp</w:t>
      </w:r>
      <w:proofErr w:type="spellEnd"/>
      <w:r w:rsidRPr="00EA556A">
        <w:rPr>
          <w:rFonts w:ascii="Arial" w:hAnsi="Arial" w:cs="Arial"/>
        </w:rPr>
        <w:t xml:space="preserve"> </w:t>
      </w:r>
      <w:proofErr w:type="spellStart"/>
      <w:r w:rsidRPr="00EA556A">
        <w:rPr>
          <w:rFonts w:ascii="Arial" w:hAnsi="Arial" w:cs="Arial"/>
        </w:rPr>
        <w:t>et</w:t>
      </w:r>
      <w:proofErr w:type="spellEnd"/>
      <w:r w:rsidRPr="00EA556A">
        <w:rPr>
          <w:rFonts w:ascii="Arial" w:hAnsi="Arial" w:cs="Arial"/>
        </w:rPr>
        <w:t xml:space="preserve"> al., 2023).</w:t>
      </w:r>
    </w:p>
    <w:p w14:paraId="31B22C2B" w14:textId="3DAE510C" w:rsidR="00A47275" w:rsidRPr="00EA556A" w:rsidRDefault="00AA2AF7" w:rsidP="00AA2AF7">
      <w:pPr>
        <w:keepNext/>
        <w:spacing w:line="276" w:lineRule="auto"/>
        <w:rPr>
          <w:rFonts w:ascii="Arial" w:hAnsi="Arial" w:cs="Arial"/>
        </w:rPr>
      </w:pPr>
      <w:r w:rsidRPr="00EA556A">
        <w:rPr>
          <w:rFonts w:ascii="Arial" w:hAnsi="Arial" w:cs="Arial"/>
        </w:rPr>
        <w:t xml:space="preserve">No âmbito das </w:t>
      </w:r>
      <w:proofErr w:type="spellStart"/>
      <w:r w:rsidRPr="00EA556A">
        <w:rPr>
          <w:rFonts w:ascii="Arial" w:hAnsi="Arial" w:cs="Arial"/>
        </w:rPr>
        <w:t>RBPs</w:t>
      </w:r>
      <w:proofErr w:type="spellEnd"/>
      <w:r w:rsidRPr="00EA556A">
        <w:rPr>
          <w:rFonts w:ascii="Arial" w:hAnsi="Arial" w:cs="Arial"/>
        </w:rPr>
        <w:t xml:space="preserve">, a </w:t>
      </w:r>
      <w:proofErr w:type="spellStart"/>
      <w:r w:rsidRPr="00EA556A">
        <w:rPr>
          <w:rFonts w:ascii="Arial" w:hAnsi="Arial" w:cs="Arial"/>
        </w:rPr>
        <w:t>despolimerase</w:t>
      </w:r>
      <w:proofErr w:type="spellEnd"/>
      <w:r w:rsidRPr="00EA556A">
        <w:rPr>
          <w:rFonts w:ascii="Arial" w:hAnsi="Arial" w:cs="Arial"/>
        </w:rPr>
        <w:t xml:space="preserve"> 1 classifica-se como uma proteína de espigão da cauda (</w:t>
      </w:r>
      <w:proofErr w:type="spellStart"/>
      <w:r w:rsidRPr="00EA556A">
        <w:rPr>
          <w:rFonts w:ascii="Arial" w:hAnsi="Arial" w:cs="Arial"/>
          <w:i/>
          <w:iCs/>
        </w:rPr>
        <w:t>tailspike</w:t>
      </w:r>
      <w:proofErr w:type="spellEnd"/>
      <w:r w:rsidRPr="00EA556A">
        <w:rPr>
          <w:rFonts w:ascii="Arial" w:hAnsi="Arial" w:cs="Arial"/>
        </w:rPr>
        <w:t>), uma vez que apresenta atividade enzimática, especificamente a capacidade de despolimerização da cápsula (</w:t>
      </w:r>
      <w:proofErr w:type="spellStart"/>
      <w:r w:rsidRPr="00EA556A">
        <w:rPr>
          <w:rFonts w:ascii="Arial" w:hAnsi="Arial" w:cs="Arial"/>
        </w:rPr>
        <w:t>Majkowska-Skrobek</w:t>
      </w:r>
      <w:proofErr w:type="spellEnd"/>
      <w:r w:rsidRPr="00EA556A">
        <w:rPr>
          <w:rFonts w:ascii="Arial" w:hAnsi="Arial" w:cs="Arial"/>
        </w:rPr>
        <w:t xml:space="preserve"> </w:t>
      </w:r>
      <w:proofErr w:type="spellStart"/>
      <w:r w:rsidRPr="00EA556A">
        <w:rPr>
          <w:rFonts w:ascii="Arial" w:hAnsi="Arial" w:cs="Arial"/>
        </w:rPr>
        <w:t>et</w:t>
      </w:r>
      <w:proofErr w:type="spellEnd"/>
      <w:r w:rsidRPr="00EA556A">
        <w:rPr>
          <w:rFonts w:ascii="Arial" w:hAnsi="Arial" w:cs="Arial"/>
        </w:rPr>
        <w:t xml:space="preserve"> al., 2018; </w:t>
      </w:r>
      <w:proofErr w:type="spellStart"/>
      <w:r w:rsidRPr="00EA556A">
        <w:rPr>
          <w:rFonts w:ascii="Arial" w:hAnsi="Arial" w:cs="Arial"/>
        </w:rPr>
        <w:t>Squeglia</w:t>
      </w:r>
      <w:proofErr w:type="spellEnd"/>
      <w:r w:rsidRPr="00EA556A">
        <w:rPr>
          <w:rFonts w:ascii="Arial" w:hAnsi="Arial" w:cs="Arial"/>
        </w:rPr>
        <w:t xml:space="preserve"> et al., 2020). A função da </w:t>
      </w:r>
      <w:proofErr w:type="spellStart"/>
      <w:r w:rsidRPr="00EA556A">
        <w:rPr>
          <w:rFonts w:ascii="Arial" w:hAnsi="Arial" w:cs="Arial"/>
        </w:rPr>
        <w:t>despolimerase</w:t>
      </w:r>
      <w:proofErr w:type="spellEnd"/>
      <w:r w:rsidRPr="00EA556A">
        <w:rPr>
          <w:rFonts w:ascii="Arial" w:hAnsi="Arial" w:cs="Arial"/>
        </w:rPr>
        <w:t xml:space="preserve"> 1 consiste em permitir o reconhecimento e a degradação da cápsula de </w:t>
      </w:r>
      <w:proofErr w:type="spellStart"/>
      <w:r w:rsidRPr="00EA556A">
        <w:rPr>
          <w:rFonts w:ascii="Arial" w:hAnsi="Arial" w:cs="Arial"/>
          <w:i/>
          <w:iCs/>
        </w:rPr>
        <w:t>Klebsiella</w:t>
      </w:r>
      <w:proofErr w:type="spellEnd"/>
      <w:r w:rsidRPr="00EA556A">
        <w:rPr>
          <w:rFonts w:ascii="Arial" w:hAnsi="Arial" w:cs="Arial"/>
          <w:i/>
          <w:iCs/>
        </w:rPr>
        <w:t xml:space="preserve"> </w:t>
      </w:r>
      <w:proofErr w:type="spellStart"/>
      <w:r w:rsidRPr="00EA556A">
        <w:rPr>
          <w:rFonts w:ascii="Arial" w:hAnsi="Arial" w:cs="Arial"/>
          <w:i/>
          <w:iCs/>
        </w:rPr>
        <w:t>pneumoniae</w:t>
      </w:r>
      <w:proofErr w:type="spellEnd"/>
      <w:r w:rsidRPr="00EA556A">
        <w:rPr>
          <w:rFonts w:ascii="Arial" w:hAnsi="Arial" w:cs="Arial"/>
        </w:rPr>
        <w:t>, possibilitando ao fago atravessar esta barreira física e injetar o seu genoma (</w:t>
      </w:r>
      <w:proofErr w:type="spellStart"/>
      <w:r w:rsidRPr="00EA556A">
        <w:rPr>
          <w:rFonts w:ascii="Arial" w:hAnsi="Arial" w:cs="Arial"/>
        </w:rPr>
        <w:t>Majkowska-Skrobek</w:t>
      </w:r>
      <w:proofErr w:type="spellEnd"/>
      <w:r w:rsidRPr="00EA556A">
        <w:rPr>
          <w:rFonts w:ascii="Arial" w:hAnsi="Arial" w:cs="Arial"/>
        </w:rPr>
        <w:t xml:space="preserve"> </w:t>
      </w:r>
      <w:proofErr w:type="spellStart"/>
      <w:r w:rsidRPr="00EA556A">
        <w:rPr>
          <w:rFonts w:ascii="Arial" w:hAnsi="Arial" w:cs="Arial"/>
        </w:rPr>
        <w:t>et</w:t>
      </w:r>
      <w:proofErr w:type="spellEnd"/>
      <w:r w:rsidRPr="00EA556A">
        <w:rPr>
          <w:rFonts w:ascii="Arial" w:hAnsi="Arial" w:cs="Arial"/>
        </w:rPr>
        <w:t xml:space="preserve"> al., 2018). No caso específico da </w:t>
      </w:r>
      <w:proofErr w:type="spellStart"/>
      <w:r w:rsidRPr="00EA556A">
        <w:rPr>
          <w:rFonts w:ascii="Arial" w:hAnsi="Arial" w:cs="Arial"/>
        </w:rPr>
        <w:t>despolimerase</w:t>
      </w:r>
      <w:proofErr w:type="spellEnd"/>
      <w:r w:rsidRPr="00EA556A">
        <w:rPr>
          <w:rFonts w:ascii="Arial" w:hAnsi="Arial" w:cs="Arial"/>
        </w:rPr>
        <w:t xml:space="preserve"> 1, esta degrada exclusivamente o serotipo capsular K3 de </w:t>
      </w:r>
      <w:proofErr w:type="spellStart"/>
      <w:r w:rsidRPr="00EA556A">
        <w:rPr>
          <w:rFonts w:ascii="Arial" w:hAnsi="Arial" w:cs="Arial"/>
          <w:i/>
          <w:iCs/>
        </w:rPr>
        <w:t>Klebsiella</w:t>
      </w:r>
      <w:proofErr w:type="spellEnd"/>
      <w:r w:rsidRPr="00EA556A">
        <w:rPr>
          <w:rFonts w:ascii="Arial" w:hAnsi="Arial" w:cs="Arial"/>
          <w:i/>
          <w:iCs/>
        </w:rPr>
        <w:t xml:space="preserve"> </w:t>
      </w:r>
      <w:proofErr w:type="spellStart"/>
      <w:r w:rsidRPr="00EA556A">
        <w:rPr>
          <w:rFonts w:ascii="Arial" w:hAnsi="Arial" w:cs="Arial"/>
          <w:i/>
          <w:iCs/>
        </w:rPr>
        <w:t>pneumoniae</w:t>
      </w:r>
      <w:proofErr w:type="spellEnd"/>
      <w:r w:rsidRPr="00EA556A">
        <w:rPr>
          <w:rFonts w:ascii="Arial" w:hAnsi="Arial" w:cs="Arial"/>
        </w:rPr>
        <w:t xml:space="preserve"> (</w:t>
      </w:r>
      <w:proofErr w:type="spellStart"/>
      <w:r w:rsidRPr="00EA556A">
        <w:rPr>
          <w:rFonts w:ascii="Arial" w:hAnsi="Arial" w:cs="Arial"/>
        </w:rPr>
        <w:t>Majkowska-Skrobek</w:t>
      </w:r>
      <w:proofErr w:type="spellEnd"/>
      <w:r w:rsidRPr="00EA556A">
        <w:rPr>
          <w:rFonts w:ascii="Arial" w:hAnsi="Arial" w:cs="Arial"/>
        </w:rPr>
        <w:t xml:space="preserve"> </w:t>
      </w:r>
      <w:proofErr w:type="spellStart"/>
      <w:r w:rsidRPr="00EA556A">
        <w:rPr>
          <w:rFonts w:ascii="Arial" w:hAnsi="Arial" w:cs="Arial"/>
        </w:rPr>
        <w:t>et</w:t>
      </w:r>
      <w:proofErr w:type="spellEnd"/>
      <w:r w:rsidRPr="00EA556A">
        <w:rPr>
          <w:rFonts w:ascii="Arial" w:hAnsi="Arial" w:cs="Arial"/>
        </w:rPr>
        <w:t xml:space="preserve"> al., 2018). A cápsula K3 é composta por uma unidade </w:t>
      </w:r>
      <w:r w:rsidRPr="00EA556A">
        <w:rPr>
          <w:rFonts w:ascii="Arial" w:hAnsi="Arial" w:cs="Arial"/>
        </w:rPr>
        <w:lastRenderedPageBreak/>
        <w:t xml:space="preserve">repetitiva com um rácio de 3:1:1 de manose, galactose e ácido </w:t>
      </w:r>
      <w:proofErr w:type="spellStart"/>
      <w:r w:rsidRPr="00EA556A">
        <w:rPr>
          <w:rFonts w:ascii="Arial" w:hAnsi="Arial" w:cs="Arial"/>
        </w:rPr>
        <w:t>galacturónico</w:t>
      </w:r>
      <w:proofErr w:type="spellEnd"/>
      <w:r w:rsidRPr="00EA556A">
        <w:rPr>
          <w:rFonts w:ascii="Arial" w:hAnsi="Arial" w:cs="Arial"/>
        </w:rPr>
        <w:t xml:space="preserve">, contendo um grupo modificador de acetal pirúvico (Fontaine </w:t>
      </w:r>
      <w:proofErr w:type="spellStart"/>
      <w:r w:rsidRPr="00EA556A">
        <w:rPr>
          <w:rFonts w:ascii="Arial" w:hAnsi="Arial" w:cs="Arial"/>
        </w:rPr>
        <w:t>et</w:t>
      </w:r>
      <w:proofErr w:type="spellEnd"/>
      <w:r w:rsidRPr="00EA556A">
        <w:rPr>
          <w:rFonts w:ascii="Arial" w:hAnsi="Arial" w:cs="Arial"/>
        </w:rPr>
        <w:t xml:space="preserve"> al., 1991).</w:t>
      </w:r>
    </w:p>
    <w:p w14:paraId="28037C3D" w14:textId="77777777" w:rsidR="00AA2AF7" w:rsidRPr="00EA556A" w:rsidRDefault="00AA2AF7" w:rsidP="00AA2AF7">
      <w:pPr>
        <w:keepNext/>
        <w:spacing w:line="276" w:lineRule="auto"/>
        <w:rPr>
          <w:rFonts w:ascii="Arial" w:hAnsi="Arial" w:cs="Arial"/>
          <w:b/>
          <w:bCs/>
        </w:rPr>
      </w:pPr>
    </w:p>
    <w:p w14:paraId="04D3232F" w14:textId="5D7A2389" w:rsidR="00225530" w:rsidRPr="00EA556A" w:rsidRDefault="00EF73E4" w:rsidP="00AA2AF7">
      <w:pPr>
        <w:keepNext/>
        <w:spacing w:line="276" w:lineRule="auto"/>
        <w:rPr>
          <w:rFonts w:ascii="Arial" w:hAnsi="Arial" w:cs="Arial"/>
        </w:rPr>
      </w:pPr>
      <w:r w:rsidRPr="00EA556A">
        <w:rPr>
          <w:rFonts w:ascii="Arial" w:hAnsi="Arial" w:cs="Arial"/>
          <w:noProof/>
        </w:rPr>
        <w:drawing>
          <wp:inline distT="0" distB="0" distL="0" distR="0" wp14:anchorId="061658AB" wp14:editId="458D319F">
            <wp:extent cx="5612130" cy="1819275"/>
            <wp:effectExtent l="0" t="0" r="7620" b="9525"/>
            <wp:docPr id="61053119" name="Imagem 2" descr="Uma imagem com captura de ecrã, Saturação de cores, luz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53119" name="Imagem 2" descr="Uma imagem com captura de ecrã, Saturação de cores, luz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44934" w14:textId="77777777" w:rsidR="007D0B40" w:rsidRPr="00EA556A" w:rsidRDefault="007D0B40" w:rsidP="00AA2AF7">
      <w:pPr>
        <w:spacing w:after="100" w:afterAutospacing="1" w:line="276" w:lineRule="auto"/>
        <w:rPr>
          <w:rFonts w:ascii="Arial" w:hAnsi="Arial" w:cs="Arial"/>
          <w:i/>
          <w:iCs/>
          <w:color w:val="0E2841" w:themeColor="text2"/>
        </w:rPr>
      </w:pPr>
      <w:bookmarkStart w:id="0" w:name="_Hlk217247183"/>
      <w:r w:rsidRPr="00EA556A">
        <w:rPr>
          <w:rFonts w:ascii="Arial" w:hAnsi="Arial" w:cs="Arial"/>
          <w:i/>
          <w:iCs/>
          <w:color w:val="0E2841" w:themeColor="text2"/>
        </w:rPr>
        <w:t xml:space="preserve">Figura 1 - Estrutura química da cápsula K3 (Fonte: CSDB record ID 102477). Legenda: Manose (círculo verde), galactose (círculo amarelo), ácido </w:t>
      </w:r>
      <w:proofErr w:type="spellStart"/>
      <w:r w:rsidRPr="00EA556A">
        <w:rPr>
          <w:rFonts w:ascii="Arial" w:hAnsi="Arial" w:cs="Arial"/>
          <w:i/>
          <w:iCs/>
          <w:color w:val="0E2841" w:themeColor="text2"/>
        </w:rPr>
        <w:t>galacturónico</w:t>
      </w:r>
      <w:proofErr w:type="spellEnd"/>
      <w:r w:rsidRPr="00EA556A">
        <w:rPr>
          <w:rFonts w:ascii="Arial" w:hAnsi="Arial" w:cs="Arial"/>
          <w:i/>
          <w:iCs/>
          <w:color w:val="0E2841" w:themeColor="text2"/>
        </w:rPr>
        <w:t xml:space="preserve"> (quadrado amarelo e branco) e grupo de acetal pirúvico (pentágono preto).</w:t>
      </w:r>
    </w:p>
    <w:bookmarkEnd w:id="0"/>
    <w:p w14:paraId="32A9A6EB" w14:textId="77777777" w:rsidR="007D0B40" w:rsidRPr="00EA556A" w:rsidRDefault="007D0B40" w:rsidP="00AA2AF7">
      <w:pPr>
        <w:spacing w:after="100" w:afterAutospacing="1" w:line="276" w:lineRule="auto"/>
        <w:rPr>
          <w:rFonts w:ascii="Arial" w:eastAsia="Times New Roman" w:hAnsi="Arial" w:cs="Arial"/>
          <w:kern w:val="0"/>
          <w14:ligatures w14:val="none"/>
        </w:rPr>
      </w:pPr>
      <w:r w:rsidRPr="00EA556A">
        <w:rPr>
          <w:rFonts w:ascii="Arial" w:eastAsia="Times New Roman" w:hAnsi="Arial" w:cs="Arial"/>
          <w:kern w:val="0"/>
          <w14:ligatures w14:val="none"/>
        </w:rPr>
        <w:t>A proteína possui um domínio próximo da região N-terminal que funciona como âncora à partícula viral. Adicionalmente, uma porção da região próxima do N-terminal desempenha um papel crucial como local de acoplamento (</w:t>
      </w:r>
      <w:proofErr w:type="spellStart"/>
      <w:r w:rsidRPr="00EA556A">
        <w:rPr>
          <w:rFonts w:ascii="Arial" w:eastAsia="Times New Roman" w:hAnsi="Arial" w:cs="Arial"/>
          <w:i/>
          <w:iCs/>
          <w:kern w:val="0"/>
          <w14:ligatures w14:val="none"/>
        </w:rPr>
        <w:t>docking</w:t>
      </w:r>
      <w:proofErr w:type="spellEnd"/>
      <w:r w:rsidRPr="00EA556A">
        <w:rPr>
          <w:rFonts w:ascii="Arial" w:eastAsia="Times New Roman" w:hAnsi="Arial" w:cs="Arial"/>
          <w:i/>
          <w:iCs/>
          <w:kern w:val="0"/>
          <w14:ligatures w14:val="none"/>
        </w:rPr>
        <w:t xml:space="preserve"> site</w:t>
      </w:r>
      <w:r w:rsidRPr="00EA556A">
        <w:rPr>
          <w:rFonts w:ascii="Arial" w:eastAsia="Times New Roman" w:hAnsi="Arial" w:cs="Arial"/>
          <w:kern w:val="0"/>
          <w14:ligatures w14:val="none"/>
        </w:rPr>
        <w:t xml:space="preserve">) para outras </w:t>
      </w:r>
      <w:proofErr w:type="spellStart"/>
      <w:r w:rsidRPr="00EA556A">
        <w:rPr>
          <w:rFonts w:ascii="Arial" w:eastAsia="Times New Roman" w:hAnsi="Arial" w:cs="Arial"/>
          <w:kern w:val="0"/>
          <w14:ligatures w14:val="none"/>
        </w:rPr>
        <w:t>RBPs</w:t>
      </w:r>
      <w:proofErr w:type="spellEnd"/>
      <w:r w:rsidRPr="00EA556A">
        <w:rPr>
          <w:rFonts w:ascii="Arial" w:eastAsia="Times New Roman" w:hAnsi="Arial" w:cs="Arial"/>
          <w:kern w:val="0"/>
          <w14:ligatures w14:val="none"/>
        </w:rPr>
        <w:t xml:space="preserve">, por exemplo, para a proteína codificada pelo gene </w:t>
      </w:r>
      <w:r w:rsidRPr="00EA556A">
        <w:rPr>
          <w:rFonts w:ascii="Arial" w:eastAsia="Times New Roman" w:hAnsi="Arial" w:cs="Arial"/>
          <w:i/>
          <w:iCs/>
          <w:kern w:val="0"/>
          <w14:ligatures w14:val="none"/>
        </w:rPr>
        <w:t>KP32gp38</w:t>
      </w:r>
      <w:r w:rsidRPr="00EA556A">
        <w:rPr>
          <w:rFonts w:ascii="Arial" w:eastAsia="Times New Roman" w:hAnsi="Arial" w:cs="Arial"/>
          <w:kern w:val="0"/>
          <w14:ligatures w14:val="none"/>
        </w:rPr>
        <w:t>, com a qual estabelece uma ligação de alta afinidade (</w:t>
      </w:r>
      <w:proofErr w:type="spellStart"/>
      <w:r w:rsidRPr="00EA556A">
        <w:rPr>
          <w:rFonts w:ascii="Arial" w:eastAsia="Times New Roman" w:hAnsi="Arial" w:cs="Arial"/>
          <w:kern w:val="0"/>
          <w14:ligatures w14:val="none"/>
        </w:rPr>
        <w:t>Squeglia</w:t>
      </w:r>
      <w:proofErr w:type="spellEnd"/>
      <w:r w:rsidRPr="00EA556A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A556A">
        <w:rPr>
          <w:rFonts w:ascii="Arial" w:eastAsia="Times New Roman" w:hAnsi="Arial" w:cs="Arial"/>
          <w:kern w:val="0"/>
          <w14:ligatures w14:val="none"/>
        </w:rPr>
        <w:t>et</w:t>
      </w:r>
      <w:proofErr w:type="spellEnd"/>
      <w:r w:rsidRPr="00EA556A">
        <w:rPr>
          <w:rFonts w:ascii="Arial" w:eastAsia="Times New Roman" w:hAnsi="Arial" w:cs="Arial"/>
          <w:kern w:val="0"/>
          <w14:ligatures w14:val="none"/>
        </w:rPr>
        <w:t xml:space="preserve"> al., 2020).</w:t>
      </w:r>
    </w:p>
    <w:p w14:paraId="31755159" w14:textId="237B495B" w:rsidR="007D0B40" w:rsidRPr="00EA556A" w:rsidRDefault="007D0B40" w:rsidP="00AA2AF7">
      <w:pPr>
        <w:spacing w:after="100" w:afterAutospacing="1" w:line="276" w:lineRule="auto"/>
        <w:rPr>
          <w:rFonts w:ascii="Arial" w:eastAsia="Times New Roman" w:hAnsi="Arial" w:cs="Arial"/>
          <w:kern w:val="0"/>
          <w14:ligatures w14:val="none"/>
        </w:rPr>
      </w:pPr>
      <w:r w:rsidRPr="00EA556A">
        <w:rPr>
          <w:rFonts w:ascii="Arial" w:eastAsia="Times New Roman" w:hAnsi="Arial" w:cs="Arial"/>
          <w:kern w:val="0"/>
          <w14:ligatures w14:val="none"/>
        </w:rPr>
        <w:t xml:space="preserve">Estruturalmente, para realizar a sua função biológica, a </w:t>
      </w:r>
      <w:r w:rsidR="000D01CA" w:rsidRPr="00EA556A">
        <w:rPr>
          <w:rFonts w:ascii="Arial" w:eastAsia="Times New Roman" w:hAnsi="Arial" w:cs="Arial"/>
          <w:kern w:val="0"/>
          <w14:ligatures w14:val="none"/>
        </w:rPr>
        <w:t>depolimerase</w:t>
      </w:r>
      <w:r w:rsidRPr="00EA556A">
        <w:rPr>
          <w:rFonts w:ascii="Arial" w:eastAsia="Times New Roman" w:hAnsi="Arial" w:cs="Arial"/>
          <w:kern w:val="0"/>
          <w14:ligatures w14:val="none"/>
        </w:rPr>
        <w:t xml:space="preserve"> 1 requer a montagem de três subunidades idênticas para a formação de um trímero. Esta proteína apresenta também uma região no C-terminal que atua como </w:t>
      </w:r>
      <w:r w:rsidRPr="00EA556A">
        <w:rPr>
          <w:rFonts w:ascii="Arial" w:eastAsia="Times New Roman" w:hAnsi="Arial" w:cs="Arial"/>
          <w:i/>
          <w:iCs/>
          <w:kern w:val="0"/>
          <w14:ligatures w14:val="none"/>
        </w:rPr>
        <w:t>chaperone</w:t>
      </w:r>
      <w:r w:rsidRPr="00EA556A">
        <w:rPr>
          <w:rFonts w:ascii="Arial" w:eastAsia="Times New Roman" w:hAnsi="Arial" w:cs="Arial"/>
          <w:kern w:val="0"/>
          <w14:ligatures w14:val="none"/>
        </w:rPr>
        <w:t xml:space="preserve"> intramolecular, cuja função é permitir a estabilização do trímero e o correto enrolamento da proteína (</w:t>
      </w:r>
      <w:proofErr w:type="spellStart"/>
      <w:r w:rsidRPr="00EA556A">
        <w:rPr>
          <w:rFonts w:ascii="Arial" w:eastAsia="Times New Roman" w:hAnsi="Arial" w:cs="Arial"/>
          <w:kern w:val="0"/>
          <w14:ligatures w14:val="none"/>
        </w:rPr>
        <w:t>Majkowska-Skrobek</w:t>
      </w:r>
      <w:proofErr w:type="spellEnd"/>
      <w:r w:rsidRPr="00EA556A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A556A">
        <w:rPr>
          <w:rFonts w:ascii="Arial" w:eastAsia="Times New Roman" w:hAnsi="Arial" w:cs="Arial"/>
          <w:kern w:val="0"/>
          <w14:ligatures w14:val="none"/>
        </w:rPr>
        <w:t>et</w:t>
      </w:r>
      <w:proofErr w:type="spellEnd"/>
      <w:r w:rsidRPr="00EA556A">
        <w:rPr>
          <w:rFonts w:ascii="Arial" w:eastAsia="Times New Roman" w:hAnsi="Arial" w:cs="Arial"/>
          <w:kern w:val="0"/>
          <w14:ligatures w14:val="none"/>
        </w:rPr>
        <w:t xml:space="preserve"> al., 2018). Após o desempenho da sua função, à semelhança de outras proteínas RBP de fagos de </w:t>
      </w:r>
      <w:proofErr w:type="spellStart"/>
      <w:r w:rsidRPr="00EA556A">
        <w:rPr>
          <w:rFonts w:ascii="Arial" w:eastAsia="Times New Roman" w:hAnsi="Arial" w:cs="Arial"/>
          <w:i/>
          <w:iCs/>
          <w:kern w:val="0"/>
          <w14:ligatures w14:val="none"/>
        </w:rPr>
        <w:t>Klebsiella</w:t>
      </w:r>
      <w:proofErr w:type="spellEnd"/>
      <w:r w:rsidRPr="00EA556A">
        <w:rPr>
          <w:rFonts w:ascii="Arial" w:eastAsia="Times New Roman" w:hAnsi="Arial" w:cs="Arial"/>
          <w:kern w:val="0"/>
          <w14:ligatures w14:val="none"/>
        </w:rPr>
        <w:t xml:space="preserve">, esta região sofre </w:t>
      </w:r>
      <w:proofErr w:type="spellStart"/>
      <w:r w:rsidRPr="00EA556A">
        <w:rPr>
          <w:rFonts w:ascii="Arial" w:eastAsia="Times New Roman" w:hAnsi="Arial" w:cs="Arial"/>
          <w:kern w:val="0"/>
          <w14:ligatures w14:val="none"/>
        </w:rPr>
        <w:t>autoclivagem</w:t>
      </w:r>
      <w:proofErr w:type="spellEnd"/>
      <w:r w:rsidRPr="00EA556A">
        <w:rPr>
          <w:rFonts w:ascii="Arial" w:eastAsia="Times New Roman" w:hAnsi="Arial" w:cs="Arial"/>
          <w:kern w:val="0"/>
          <w14:ligatures w14:val="none"/>
        </w:rPr>
        <w:t xml:space="preserve"> para concluir a maturação completa da proteína, resultando na forma final ativa de menor peso molecular (</w:t>
      </w:r>
      <w:proofErr w:type="spellStart"/>
      <w:r w:rsidRPr="00EA556A">
        <w:rPr>
          <w:rFonts w:ascii="Arial" w:eastAsia="Times New Roman" w:hAnsi="Arial" w:cs="Arial"/>
          <w:kern w:val="0"/>
          <w14:ligatures w14:val="none"/>
        </w:rPr>
        <w:t>Majkowska-Skrobek</w:t>
      </w:r>
      <w:proofErr w:type="spellEnd"/>
      <w:r w:rsidRPr="00EA556A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A556A">
        <w:rPr>
          <w:rFonts w:ascii="Arial" w:eastAsia="Times New Roman" w:hAnsi="Arial" w:cs="Arial"/>
          <w:kern w:val="0"/>
          <w14:ligatures w14:val="none"/>
        </w:rPr>
        <w:t>et</w:t>
      </w:r>
      <w:proofErr w:type="spellEnd"/>
      <w:r w:rsidRPr="00EA556A">
        <w:rPr>
          <w:rFonts w:ascii="Arial" w:eastAsia="Times New Roman" w:hAnsi="Arial" w:cs="Arial"/>
          <w:kern w:val="0"/>
          <w14:ligatures w14:val="none"/>
        </w:rPr>
        <w:t xml:space="preserve"> al., 2018). A importância deste domínio foi testada experimentalmente: ensaios com a </w:t>
      </w:r>
      <w:proofErr w:type="spellStart"/>
      <w:r w:rsidRPr="00EA556A">
        <w:rPr>
          <w:rFonts w:ascii="Arial" w:eastAsia="Times New Roman" w:hAnsi="Arial" w:cs="Arial"/>
          <w:kern w:val="0"/>
          <w14:ligatures w14:val="none"/>
        </w:rPr>
        <w:t>despolimerase</w:t>
      </w:r>
      <w:proofErr w:type="spellEnd"/>
      <w:r w:rsidRPr="00EA556A">
        <w:rPr>
          <w:rFonts w:ascii="Arial" w:eastAsia="Times New Roman" w:hAnsi="Arial" w:cs="Arial"/>
          <w:kern w:val="0"/>
          <w14:ligatures w14:val="none"/>
        </w:rPr>
        <w:t xml:space="preserve"> 1 sem a presença d</w:t>
      </w:r>
      <w:r w:rsidR="00A30259" w:rsidRPr="00EA556A">
        <w:rPr>
          <w:rFonts w:ascii="Arial" w:eastAsia="Times New Roman" w:hAnsi="Arial" w:cs="Arial"/>
          <w:kern w:val="0"/>
          <w14:ligatures w14:val="none"/>
        </w:rPr>
        <w:t>e parte do</w:t>
      </w:r>
      <w:r w:rsidRPr="00EA556A">
        <w:rPr>
          <w:rFonts w:ascii="Arial" w:eastAsia="Times New Roman" w:hAnsi="Arial" w:cs="Arial"/>
          <w:kern w:val="0"/>
          <w14:ligatures w14:val="none"/>
        </w:rPr>
        <w:t xml:space="preserve"> C-terminal</w:t>
      </w:r>
      <w:r w:rsidR="00A30259" w:rsidRPr="00EA556A">
        <w:rPr>
          <w:rFonts w:ascii="Arial" w:eastAsia="Times New Roman" w:hAnsi="Arial" w:cs="Arial"/>
          <w:kern w:val="0"/>
          <w14:ligatures w14:val="none"/>
        </w:rPr>
        <w:t xml:space="preserve"> com</w:t>
      </w:r>
      <w:r w:rsidR="005217D7" w:rsidRPr="00EA556A">
        <w:rPr>
          <w:rFonts w:ascii="Arial" w:eastAsia="Times New Roman" w:hAnsi="Arial" w:cs="Arial"/>
          <w:kern w:val="0"/>
          <w14:ligatures w14:val="none"/>
        </w:rPr>
        <w:t xml:space="preserve"> a função de</w:t>
      </w:r>
      <w:r w:rsidR="00A30259" w:rsidRPr="00EA556A">
        <w:rPr>
          <w:rFonts w:ascii="Arial" w:eastAsia="Times New Roman" w:hAnsi="Arial" w:cs="Arial"/>
          <w:kern w:val="0"/>
          <w14:ligatures w14:val="none"/>
        </w:rPr>
        <w:t xml:space="preserve"> </w:t>
      </w:r>
      <w:r w:rsidR="00A30259" w:rsidRPr="00EA556A">
        <w:rPr>
          <w:rFonts w:ascii="Arial" w:eastAsia="Times New Roman" w:hAnsi="Arial" w:cs="Arial"/>
          <w:i/>
          <w:iCs/>
          <w:kern w:val="0"/>
          <w14:ligatures w14:val="none"/>
        </w:rPr>
        <w:t>chaperone</w:t>
      </w:r>
      <w:r w:rsidRPr="00EA556A">
        <w:rPr>
          <w:rFonts w:ascii="Arial" w:eastAsia="Times New Roman" w:hAnsi="Arial" w:cs="Arial"/>
          <w:kern w:val="0"/>
          <w14:ligatures w14:val="none"/>
        </w:rPr>
        <w:t xml:space="preserve"> revelaram uma ausência de atividade, demonstrando a sua função essencial para o correto dobramento e funcionalidade da proteína (</w:t>
      </w:r>
      <w:proofErr w:type="spellStart"/>
      <w:r w:rsidRPr="00EA556A">
        <w:rPr>
          <w:rFonts w:ascii="Arial" w:eastAsia="Times New Roman" w:hAnsi="Arial" w:cs="Arial"/>
          <w:kern w:val="0"/>
          <w14:ligatures w14:val="none"/>
        </w:rPr>
        <w:t>Latka</w:t>
      </w:r>
      <w:proofErr w:type="spellEnd"/>
      <w:r w:rsidRPr="00EA556A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A556A">
        <w:rPr>
          <w:rFonts w:ascii="Arial" w:eastAsia="Times New Roman" w:hAnsi="Arial" w:cs="Arial"/>
          <w:kern w:val="0"/>
          <w14:ligatures w14:val="none"/>
        </w:rPr>
        <w:t>et</w:t>
      </w:r>
      <w:proofErr w:type="spellEnd"/>
      <w:r w:rsidRPr="00EA556A">
        <w:rPr>
          <w:rFonts w:ascii="Arial" w:eastAsia="Times New Roman" w:hAnsi="Arial" w:cs="Arial"/>
          <w:kern w:val="0"/>
          <w14:ligatures w14:val="none"/>
        </w:rPr>
        <w:t xml:space="preserve"> al., 2021).</w:t>
      </w:r>
    </w:p>
    <w:p w14:paraId="7CBEA436" w14:textId="11561716" w:rsidR="007D0B40" w:rsidRPr="00EA556A" w:rsidRDefault="007D0B40" w:rsidP="00AA2AF7">
      <w:pPr>
        <w:spacing w:after="100" w:afterAutospacing="1" w:line="276" w:lineRule="auto"/>
        <w:rPr>
          <w:rFonts w:ascii="Arial" w:eastAsia="Times New Roman" w:hAnsi="Arial" w:cs="Arial"/>
          <w:kern w:val="0"/>
          <w14:ligatures w14:val="none"/>
        </w:rPr>
      </w:pPr>
      <w:r w:rsidRPr="00EA556A">
        <w:rPr>
          <w:rFonts w:ascii="Arial" w:eastAsia="Times New Roman" w:hAnsi="Arial" w:cs="Arial"/>
          <w:kern w:val="0"/>
          <w14:ligatures w14:val="none"/>
        </w:rPr>
        <w:t xml:space="preserve">A atividade enzimática de uma depolimerase pode ser classificada como </w:t>
      </w:r>
      <w:proofErr w:type="spellStart"/>
      <w:r w:rsidRPr="00EA556A">
        <w:rPr>
          <w:rFonts w:ascii="Arial" w:eastAsia="Times New Roman" w:hAnsi="Arial" w:cs="Arial"/>
          <w:kern w:val="0"/>
          <w14:ligatures w14:val="none"/>
        </w:rPr>
        <w:t>hidrolase</w:t>
      </w:r>
      <w:proofErr w:type="spellEnd"/>
      <w:r w:rsidRPr="00EA556A">
        <w:rPr>
          <w:rFonts w:ascii="Arial" w:eastAsia="Times New Roman" w:hAnsi="Arial" w:cs="Arial"/>
          <w:kern w:val="0"/>
          <w14:ligatures w14:val="none"/>
        </w:rPr>
        <w:t xml:space="preserve"> (</w:t>
      </w:r>
      <w:proofErr w:type="spellStart"/>
      <w:r w:rsidRPr="00EA556A">
        <w:rPr>
          <w:rFonts w:ascii="Arial" w:eastAsia="Times New Roman" w:hAnsi="Arial" w:cs="Arial"/>
          <w:i/>
          <w:iCs/>
          <w:kern w:val="0"/>
          <w14:ligatures w14:val="none"/>
        </w:rPr>
        <w:t>hydrolase</w:t>
      </w:r>
      <w:proofErr w:type="spellEnd"/>
      <w:r w:rsidRPr="00EA556A">
        <w:rPr>
          <w:rFonts w:ascii="Arial" w:eastAsia="Times New Roman" w:hAnsi="Arial" w:cs="Arial"/>
          <w:kern w:val="0"/>
          <w14:ligatures w14:val="none"/>
        </w:rPr>
        <w:t>) ou como liase (</w:t>
      </w:r>
      <w:proofErr w:type="spellStart"/>
      <w:r w:rsidRPr="00EA556A">
        <w:rPr>
          <w:rFonts w:ascii="Arial" w:eastAsia="Times New Roman" w:hAnsi="Arial" w:cs="Arial"/>
          <w:i/>
          <w:iCs/>
          <w:kern w:val="0"/>
          <w14:ligatures w14:val="none"/>
        </w:rPr>
        <w:t>lyase</w:t>
      </w:r>
      <w:proofErr w:type="spellEnd"/>
      <w:r w:rsidRPr="00EA556A">
        <w:rPr>
          <w:rFonts w:ascii="Arial" w:eastAsia="Times New Roman" w:hAnsi="Arial" w:cs="Arial"/>
          <w:kern w:val="0"/>
          <w14:ligatures w14:val="none"/>
        </w:rPr>
        <w:t xml:space="preserve">). Enquanto uma </w:t>
      </w:r>
      <w:proofErr w:type="spellStart"/>
      <w:r w:rsidRPr="00EA556A">
        <w:rPr>
          <w:rFonts w:ascii="Arial" w:eastAsia="Times New Roman" w:hAnsi="Arial" w:cs="Arial"/>
          <w:kern w:val="0"/>
          <w14:ligatures w14:val="none"/>
        </w:rPr>
        <w:t>hidrolase</w:t>
      </w:r>
      <w:proofErr w:type="spellEnd"/>
      <w:r w:rsidRPr="00EA556A">
        <w:rPr>
          <w:rFonts w:ascii="Arial" w:eastAsia="Times New Roman" w:hAnsi="Arial" w:cs="Arial"/>
          <w:kern w:val="0"/>
          <w14:ligatures w14:val="none"/>
        </w:rPr>
        <w:t xml:space="preserve"> cliva as ligações dos polissacarídeos utilizando uma molécula de água (</w:t>
      </w:r>
      <w:proofErr w:type="spellStart"/>
      <w:r w:rsidRPr="00EA556A">
        <w:rPr>
          <w:rFonts w:ascii="Arial" w:eastAsia="Times New Roman" w:hAnsi="Arial" w:cs="Arial"/>
          <w:kern w:val="0"/>
          <w14:ligatures w14:val="none"/>
        </w:rPr>
        <w:t>Latka</w:t>
      </w:r>
      <w:proofErr w:type="spellEnd"/>
      <w:r w:rsidRPr="00EA556A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A556A">
        <w:rPr>
          <w:rFonts w:ascii="Arial" w:eastAsia="Times New Roman" w:hAnsi="Arial" w:cs="Arial"/>
          <w:kern w:val="0"/>
          <w14:ligatures w14:val="none"/>
        </w:rPr>
        <w:t>et</w:t>
      </w:r>
      <w:proofErr w:type="spellEnd"/>
      <w:r w:rsidRPr="00EA556A">
        <w:rPr>
          <w:rFonts w:ascii="Arial" w:eastAsia="Times New Roman" w:hAnsi="Arial" w:cs="Arial"/>
          <w:kern w:val="0"/>
          <w14:ligatures w14:val="none"/>
        </w:rPr>
        <w:t xml:space="preserve"> al., 2019), a proteína </w:t>
      </w:r>
      <w:r w:rsidRPr="00EA556A">
        <w:rPr>
          <w:rFonts w:ascii="Arial" w:eastAsia="Times New Roman" w:hAnsi="Arial" w:cs="Arial"/>
          <w:kern w:val="0"/>
          <w14:ligatures w14:val="none"/>
        </w:rPr>
        <w:lastRenderedPageBreak/>
        <w:t xml:space="preserve">KP32gp37 aparenta ser uma liase. A análise bioinformática do produto do gene </w:t>
      </w:r>
      <w:r w:rsidRPr="00EA556A">
        <w:rPr>
          <w:rFonts w:ascii="Arial" w:eastAsia="Times New Roman" w:hAnsi="Arial" w:cs="Arial"/>
          <w:i/>
          <w:iCs/>
          <w:kern w:val="0"/>
          <w14:ligatures w14:val="none"/>
        </w:rPr>
        <w:t>gp37</w:t>
      </w:r>
      <w:r w:rsidRPr="00EA556A">
        <w:rPr>
          <w:rFonts w:ascii="Arial" w:eastAsia="Times New Roman" w:hAnsi="Arial" w:cs="Arial"/>
          <w:kern w:val="0"/>
          <w14:ligatures w14:val="none"/>
        </w:rPr>
        <w:t xml:space="preserve"> com as ferramentas SMART2 e InterProScan3 revel</w:t>
      </w:r>
      <w:r w:rsidR="00AA2AF7" w:rsidRPr="00EA556A">
        <w:rPr>
          <w:rFonts w:ascii="Arial" w:eastAsia="Times New Roman" w:hAnsi="Arial" w:cs="Arial"/>
          <w:kern w:val="0"/>
          <w14:ligatures w14:val="none"/>
        </w:rPr>
        <w:t>aram</w:t>
      </w:r>
      <w:r w:rsidRPr="00EA556A">
        <w:rPr>
          <w:rFonts w:ascii="Arial" w:eastAsia="Times New Roman" w:hAnsi="Arial" w:cs="Arial"/>
          <w:kern w:val="0"/>
          <w14:ligatures w14:val="none"/>
        </w:rPr>
        <w:t xml:space="preserve"> a presença de um domínio </w:t>
      </w:r>
      <w:r w:rsidRPr="00EA556A">
        <w:rPr>
          <w:rFonts w:ascii="Arial" w:eastAsia="Times New Roman" w:hAnsi="Arial" w:cs="Arial"/>
          <w:i/>
          <w:iCs/>
          <w:kern w:val="0"/>
          <w14:ligatures w14:val="none"/>
        </w:rPr>
        <w:t>pectate_lyase_3</w:t>
      </w:r>
      <w:r w:rsidRPr="00EA556A">
        <w:rPr>
          <w:rFonts w:ascii="Arial" w:eastAsia="Times New Roman" w:hAnsi="Arial" w:cs="Arial"/>
          <w:kern w:val="0"/>
          <w14:ligatures w14:val="none"/>
        </w:rPr>
        <w:t xml:space="preserve">, o que indica que a proteína </w:t>
      </w:r>
      <w:r w:rsidR="00AA2AF7" w:rsidRPr="00EA556A">
        <w:rPr>
          <w:rFonts w:ascii="Arial" w:eastAsia="Times New Roman" w:hAnsi="Arial" w:cs="Arial"/>
          <w:kern w:val="0"/>
          <w14:ligatures w14:val="none"/>
        </w:rPr>
        <w:t xml:space="preserve">potencialmente </w:t>
      </w:r>
      <w:r w:rsidRPr="00EA556A">
        <w:rPr>
          <w:rFonts w:ascii="Arial" w:eastAsia="Times New Roman" w:hAnsi="Arial" w:cs="Arial"/>
          <w:kern w:val="0"/>
          <w14:ligatures w14:val="none"/>
        </w:rPr>
        <w:t xml:space="preserve">degrada a cápsula através de um mecanismo de </w:t>
      </w:r>
      <w:r w:rsidR="00AA2AF7" w:rsidRPr="00EA556A">
        <w:rPr>
          <w:rFonts w:ascii="Arial" w:eastAsia="Times New Roman" w:hAnsi="Arial" w:cs="Arial"/>
          <w:kern w:val="0"/>
          <w14:ligatures w14:val="none"/>
        </w:rPr>
        <w:t>β-</w:t>
      </w:r>
      <w:r w:rsidRPr="00EA556A">
        <w:rPr>
          <w:rFonts w:ascii="Arial" w:eastAsia="Times New Roman" w:hAnsi="Arial" w:cs="Arial"/>
          <w:kern w:val="0"/>
          <w14:ligatures w14:val="none"/>
        </w:rPr>
        <w:t>eliminação</w:t>
      </w:r>
      <w:r w:rsidR="00AA2AF7" w:rsidRPr="00EA556A">
        <w:rPr>
          <w:rFonts w:ascii="Arial" w:eastAsia="Times New Roman" w:hAnsi="Arial" w:cs="Arial"/>
          <w:kern w:val="0"/>
          <w14:ligatures w14:val="none"/>
        </w:rPr>
        <w:t xml:space="preserve"> (</w:t>
      </w:r>
      <w:proofErr w:type="spellStart"/>
      <w:r w:rsidR="00AA2AF7" w:rsidRPr="00EA556A">
        <w:rPr>
          <w:rFonts w:ascii="Arial" w:hAnsi="Arial" w:cs="Arial"/>
        </w:rPr>
        <w:t>Majkowska-Skrobek</w:t>
      </w:r>
      <w:proofErr w:type="spellEnd"/>
      <w:r w:rsidR="00AA2AF7" w:rsidRPr="00EA556A">
        <w:rPr>
          <w:rFonts w:ascii="Arial" w:hAnsi="Arial" w:cs="Arial"/>
        </w:rPr>
        <w:t xml:space="preserve"> </w:t>
      </w:r>
      <w:proofErr w:type="spellStart"/>
      <w:r w:rsidR="00AA2AF7" w:rsidRPr="00EA556A">
        <w:rPr>
          <w:rFonts w:ascii="Arial" w:hAnsi="Arial" w:cs="Arial"/>
        </w:rPr>
        <w:t>et</w:t>
      </w:r>
      <w:proofErr w:type="spellEnd"/>
      <w:r w:rsidR="00AA2AF7" w:rsidRPr="00EA556A">
        <w:rPr>
          <w:rFonts w:ascii="Arial" w:hAnsi="Arial" w:cs="Arial"/>
        </w:rPr>
        <w:t xml:space="preserve"> al., 2018)</w:t>
      </w:r>
      <w:r w:rsidRPr="00EA556A">
        <w:rPr>
          <w:rFonts w:ascii="Arial" w:eastAsia="Times New Roman" w:hAnsi="Arial" w:cs="Arial"/>
          <w:kern w:val="0"/>
          <w14:ligatures w14:val="none"/>
        </w:rPr>
        <w:t>,</w:t>
      </w:r>
      <w:r w:rsidR="00AA2AF7" w:rsidRPr="00EA556A">
        <w:rPr>
          <w:rFonts w:ascii="Arial" w:eastAsia="Times New Roman" w:hAnsi="Arial" w:cs="Arial"/>
          <w:kern w:val="0"/>
          <w14:ligatures w14:val="none"/>
        </w:rPr>
        <w:t xml:space="preserve"> ao</w:t>
      </w:r>
      <w:r w:rsidRPr="00EA556A">
        <w:rPr>
          <w:rFonts w:ascii="Arial" w:eastAsia="Times New Roman" w:hAnsi="Arial" w:cs="Arial"/>
          <w:kern w:val="0"/>
          <w14:ligatures w14:val="none"/>
        </w:rPr>
        <w:t xml:space="preserve"> introduzi</w:t>
      </w:r>
      <w:r w:rsidR="00AA2AF7" w:rsidRPr="00EA556A">
        <w:rPr>
          <w:rFonts w:ascii="Arial" w:eastAsia="Times New Roman" w:hAnsi="Arial" w:cs="Arial"/>
          <w:kern w:val="0"/>
          <w14:ligatures w14:val="none"/>
        </w:rPr>
        <w:t>r</w:t>
      </w:r>
      <w:r w:rsidRPr="00EA556A">
        <w:rPr>
          <w:rFonts w:ascii="Arial" w:eastAsia="Times New Roman" w:hAnsi="Arial" w:cs="Arial"/>
          <w:kern w:val="0"/>
          <w14:ligatures w14:val="none"/>
        </w:rPr>
        <w:t xml:space="preserve"> uma ligação dupla no produto final (</w:t>
      </w:r>
      <w:proofErr w:type="spellStart"/>
      <w:r w:rsidRPr="00EA556A">
        <w:rPr>
          <w:rFonts w:ascii="Arial" w:eastAsia="Times New Roman" w:hAnsi="Arial" w:cs="Arial"/>
          <w:kern w:val="0"/>
          <w14:ligatures w14:val="none"/>
        </w:rPr>
        <w:t>Latka</w:t>
      </w:r>
      <w:proofErr w:type="spellEnd"/>
      <w:r w:rsidRPr="00EA556A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A556A">
        <w:rPr>
          <w:rFonts w:ascii="Arial" w:eastAsia="Times New Roman" w:hAnsi="Arial" w:cs="Arial"/>
          <w:kern w:val="0"/>
          <w14:ligatures w14:val="none"/>
        </w:rPr>
        <w:t>et</w:t>
      </w:r>
      <w:proofErr w:type="spellEnd"/>
      <w:r w:rsidRPr="00EA556A">
        <w:rPr>
          <w:rFonts w:ascii="Arial" w:eastAsia="Times New Roman" w:hAnsi="Arial" w:cs="Arial"/>
          <w:kern w:val="0"/>
          <w14:ligatures w14:val="none"/>
        </w:rPr>
        <w:t xml:space="preserve"> al., 2019).</w:t>
      </w:r>
    </w:p>
    <w:p w14:paraId="38AEA680" w14:textId="77777777" w:rsidR="007D0B40" w:rsidRPr="00EA556A" w:rsidRDefault="007D0B40" w:rsidP="00AA2AF7">
      <w:pPr>
        <w:spacing w:after="100" w:afterAutospacing="1" w:line="276" w:lineRule="auto"/>
        <w:rPr>
          <w:rFonts w:ascii="Arial" w:eastAsia="Times New Roman" w:hAnsi="Arial" w:cs="Arial"/>
          <w:kern w:val="0"/>
          <w14:ligatures w14:val="none"/>
        </w:rPr>
      </w:pPr>
      <w:r w:rsidRPr="00EA556A">
        <w:rPr>
          <w:rFonts w:ascii="Arial" w:eastAsia="Times New Roman" w:hAnsi="Arial" w:cs="Arial"/>
          <w:b/>
          <w:bCs/>
          <w:kern w:val="0"/>
          <w14:ligatures w14:val="none"/>
        </w:rPr>
        <w:t xml:space="preserve">GENE </w:t>
      </w:r>
      <w:r w:rsidRPr="00EA556A">
        <w:rPr>
          <w:rFonts w:ascii="Arial" w:eastAsia="Times New Roman" w:hAnsi="Arial" w:cs="Arial"/>
          <w:b/>
          <w:bCs/>
          <w:i/>
          <w:iCs/>
          <w:kern w:val="0"/>
          <w14:ligatures w14:val="none"/>
        </w:rPr>
        <w:t>KP32gp38</w:t>
      </w:r>
    </w:p>
    <w:p w14:paraId="1F365225" w14:textId="4F24B617" w:rsidR="007D0B40" w:rsidRPr="00EA556A" w:rsidRDefault="007D0B40" w:rsidP="00AA2AF7">
      <w:pPr>
        <w:spacing w:after="100" w:afterAutospacing="1" w:line="276" w:lineRule="auto"/>
        <w:rPr>
          <w:rFonts w:ascii="Arial" w:eastAsia="Times New Roman" w:hAnsi="Arial" w:cs="Arial"/>
          <w:kern w:val="0"/>
          <w:lang w:val="en-US"/>
          <w14:ligatures w14:val="none"/>
        </w:rPr>
      </w:pPr>
      <w:r w:rsidRPr="00EA556A">
        <w:rPr>
          <w:rFonts w:ascii="Arial" w:eastAsia="Times New Roman" w:hAnsi="Arial" w:cs="Arial"/>
          <w:kern w:val="0"/>
          <w14:ligatures w14:val="none"/>
        </w:rPr>
        <w:t xml:space="preserve">O gene </w:t>
      </w:r>
      <w:r w:rsidRPr="00EA556A">
        <w:rPr>
          <w:rFonts w:ascii="Arial" w:eastAsia="Times New Roman" w:hAnsi="Arial" w:cs="Arial"/>
          <w:i/>
          <w:iCs/>
          <w:kern w:val="0"/>
          <w14:ligatures w14:val="none"/>
        </w:rPr>
        <w:t>KP32gp38</w:t>
      </w:r>
      <w:r w:rsidRPr="00EA556A">
        <w:rPr>
          <w:rFonts w:ascii="Arial" w:eastAsia="Times New Roman" w:hAnsi="Arial" w:cs="Arial"/>
          <w:kern w:val="0"/>
          <w14:ligatures w14:val="none"/>
        </w:rPr>
        <w:t xml:space="preserve"> codifica uma proteína formada por 578 aminoácidos, com um tamanho estimado de 62 </w:t>
      </w:r>
      <w:proofErr w:type="spellStart"/>
      <w:r w:rsidRPr="00EA556A">
        <w:rPr>
          <w:rFonts w:ascii="Arial" w:eastAsia="Times New Roman" w:hAnsi="Arial" w:cs="Arial"/>
          <w:kern w:val="0"/>
          <w14:ligatures w14:val="none"/>
        </w:rPr>
        <w:t>kDa</w:t>
      </w:r>
      <w:proofErr w:type="spellEnd"/>
      <w:r w:rsidRPr="00EA556A">
        <w:rPr>
          <w:rFonts w:ascii="Arial" w:eastAsia="Times New Roman" w:hAnsi="Arial" w:cs="Arial"/>
          <w:kern w:val="0"/>
          <w14:ligatures w14:val="none"/>
        </w:rPr>
        <w:t xml:space="preserve"> (</w:t>
      </w:r>
      <w:proofErr w:type="spellStart"/>
      <w:r w:rsidRPr="00EA556A">
        <w:rPr>
          <w:rFonts w:ascii="Arial" w:eastAsia="Times New Roman" w:hAnsi="Arial" w:cs="Arial"/>
          <w:kern w:val="0"/>
          <w14:ligatures w14:val="none"/>
        </w:rPr>
        <w:t>Majkowska-Skrobek</w:t>
      </w:r>
      <w:proofErr w:type="spellEnd"/>
      <w:r w:rsidRPr="00EA556A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A556A">
        <w:rPr>
          <w:rFonts w:ascii="Arial" w:eastAsia="Times New Roman" w:hAnsi="Arial" w:cs="Arial"/>
          <w:kern w:val="0"/>
          <w14:ligatures w14:val="none"/>
        </w:rPr>
        <w:t>et</w:t>
      </w:r>
      <w:proofErr w:type="spellEnd"/>
      <w:r w:rsidRPr="00EA556A">
        <w:rPr>
          <w:rFonts w:ascii="Arial" w:eastAsia="Times New Roman" w:hAnsi="Arial" w:cs="Arial"/>
          <w:kern w:val="0"/>
          <w14:ligatures w14:val="none"/>
        </w:rPr>
        <w:t xml:space="preserve"> al., 2018). Este gene codifica uma RBP capaz de se ligar </w:t>
      </w:r>
      <w:r w:rsidR="009A44EF" w:rsidRPr="00EA556A">
        <w:rPr>
          <w:rFonts w:ascii="Arial" w:eastAsia="Times New Roman" w:hAnsi="Arial" w:cs="Arial"/>
          <w:kern w:val="0"/>
          <w14:ligatures w14:val="none"/>
        </w:rPr>
        <w:t>à</w:t>
      </w:r>
      <w:r w:rsidRPr="00EA556A">
        <w:rPr>
          <w:rFonts w:ascii="Arial" w:eastAsia="Times New Roman" w:hAnsi="Arial" w:cs="Arial"/>
          <w:kern w:val="0"/>
          <w14:ligatures w14:val="none"/>
        </w:rPr>
        <w:t xml:space="preserve"> cápsula </w:t>
      </w:r>
      <w:r w:rsidR="009A44EF" w:rsidRPr="00EA556A">
        <w:rPr>
          <w:rFonts w:ascii="Arial" w:eastAsia="Times New Roman" w:hAnsi="Arial" w:cs="Arial"/>
          <w:kern w:val="0"/>
          <w14:ligatures w14:val="none"/>
        </w:rPr>
        <w:t xml:space="preserve">de </w:t>
      </w:r>
      <w:proofErr w:type="spellStart"/>
      <w:r w:rsidR="009A44EF" w:rsidRPr="00EA556A">
        <w:rPr>
          <w:rFonts w:ascii="Arial" w:eastAsia="Times New Roman" w:hAnsi="Arial" w:cs="Arial"/>
          <w:kern w:val="0"/>
          <w14:ligatures w14:val="none"/>
        </w:rPr>
        <w:t>Klebsielaa</w:t>
      </w:r>
      <w:proofErr w:type="spellEnd"/>
      <w:r w:rsidR="009A44EF" w:rsidRPr="00EA556A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9A44EF" w:rsidRPr="00EA556A">
        <w:rPr>
          <w:rFonts w:ascii="Arial" w:eastAsia="Times New Roman" w:hAnsi="Arial" w:cs="Arial"/>
          <w:kern w:val="0"/>
          <w14:ligatures w14:val="none"/>
        </w:rPr>
        <w:t>pneumonae</w:t>
      </w:r>
      <w:proofErr w:type="spellEnd"/>
      <w:r w:rsidRPr="00EA556A">
        <w:rPr>
          <w:rFonts w:ascii="Arial" w:eastAsia="Times New Roman" w:hAnsi="Arial" w:cs="Arial"/>
          <w:kern w:val="0"/>
          <w14:ligatures w14:val="none"/>
        </w:rPr>
        <w:t>, permitindo o reconhecimento específico do hospedeiro. A proteína resultante</w:t>
      </w:r>
      <w:r w:rsidR="00026E44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EA556A">
        <w:rPr>
          <w:rFonts w:ascii="Arial" w:eastAsia="Times New Roman" w:hAnsi="Arial" w:cs="Arial"/>
          <w:kern w:val="0"/>
          <w14:ligatures w14:val="none"/>
        </w:rPr>
        <w:t>é igualmente classificada como proteína de espigão da cauda (</w:t>
      </w:r>
      <w:proofErr w:type="spellStart"/>
      <w:r w:rsidRPr="00EA556A">
        <w:rPr>
          <w:rFonts w:ascii="Arial" w:eastAsia="Times New Roman" w:hAnsi="Arial" w:cs="Arial"/>
          <w:i/>
          <w:iCs/>
          <w:kern w:val="0"/>
          <w14:ligatures w14:val="none"/>
        </w:rPr>
        <w:t>tailspike</w:t>
      </w:r>
      <w:proofErr w:type="spellEnd"/>
      <w:r w:rsidRPr="00EA556A">
        <w:rPr>
          <w:rFonts w:ascii="Arial" w:eastAsia="Times New Roman" w:hAnsi="Arial" w:cs="Arial"/>
          <w:kern w:val="0"/>
          <w14:ligatures w14:val="none"/>
        </w:rPr>
        <w:t xml:space="preserve">), pois também apresenta atividade de </w:t>
      </w:r>
      <w:proofErr w:type="spellStart"/>
      <w:r w:rsidRPr="00EA556A">
        <w:rPr>
          <w:rFonts w:ascii="Arial" w:eastAsia="Times New Roman" w:hAnsi="Arial" w:cs="Arial"/>
          <w:kern w:val="0"/>
          <w14:ligatures w14:val="none"/>
        </w:rPr>
        <w:t>despolimerase</w:t>
      </w:r>
      <w:proofErr w:type="spellEnd"/>
      <w:r w:rsidR="00026E44">
        <w:rPr>
          <w:rFonts w:ascii="Arial" w:eastAsia="Times New Roman" w:hAnsi="Arial" w:cs="Arial"/>
          <w:kern w:val="0"/>
          <w14:ligatures w14:val="none"/>
        </w:rPr>
        <w:t xml:space="preserve">, </w:t>
      </w:r>
      <w:r w:rsidR="00F35F5A">
        <w:rPr>
          <w:rFonts w:ascii="Arial" w:eastAsia="Times New Roman" w:hAnsi="Arial" w:cs="Arial"/>
          <w:kern w:val="0"/>
          <w14:ligatures w14:val="none"/>
        </w:rPr>
        <w:t xml:space="preserve">sendo </w:t>
      </w:r>
      <w:proofErr w:type="gramStart"/>
      <w:r w:rsidR="00F35F5A">
        <w:rPr>
          <w:rFonts w:ascii="Arial" w:eastAsia="Times New Roman" w:hAnsi="Arial" w:cs="Arial"/>
          <w:kern w:val="0"/>
          <w14:ligatures w14:val="none"/>
        </w:rPr>
        <w:t xml:space="preserve">que </w:t>
      </w:r>
      <w:r w:rsidR="00026E44">
        <w:rPr>
          <w:rFonts w:ascii="Arial" w:eastAsia="Times New Roman" w:hAnsi="Arial" w:cs="Arial"/>
          <w:kern w:val="0"/>
          <w14:ligatures w14:val="none"/>
        </w:rPr>
        <w:t xml:space="preserve"> </w:t>
      </w:r>
      <w:r w:rsidR="00F35F5A">
        <w:rPr>
          <w:rFonts w:ascii="Arial" w:eastAsia="Times New Roman" w:hAnsi="Arial" w:cs="Arial"/>
          <w:kern w:val="0"/>
          <w14:ligatures w14:val="none"/>
        </w:rPr>
        <w:t>da</w:t>
      </w:r>
      <w:r w:rsidR="00026E44">
        <w:rPr>
          <w:rFonts w:ascii="Arial" w:eastAsia="Times New Roman" w:hAnsi="Arial" w:cs="Arial"/>
          <w:kern w:val="0"/>
          <w14:ligatures w14:val="none"/>
        </w:rPr>
        <w:t>q</w:t>
      </w:r>
      <w:r w:rsidR="00F35F5A">
        <w:rPr>
          <w:rFonts w:ascii="Arial" w:eastAsia="Times New Roman" w:hAnsi="Arial" w:cs="Arial"/>
          <w:kern w:val="0"/>
          <w14:ligatures w14:val="none"/>
        </w:rPr>
        <w:t>ui</w:t>
      </w:r>
      <w:proofErr w:type="gramEnd"/>
      <w:r w:rsidR="00F35F5A">
        <w:rPr>
          <w:rFonts w:ascii="Arial" w:eastAsia="Times New Roman" w:hAnsi="Arial" w:cs="Arial"/>
          <w:kern w:val="0"/>
          <w14:ligatures w14:val="none"/>
        </w:rPr>
        <w:t xml:space="preserve"> </w:t>
      </w:r>
      <w:r w:rsidR="00026E44">
        <w:rPr>
          <w:rFonts w:ascii="Arial" w:eastAsia="Times New Roman" w:hAnsi="Arial" w:cs="Arial"/>
          <w:kern w:val="0"/>
          <w14:ligatures w14:val="none"/>
        </w:rPr>
        <w:t>a</w:t>
      </w:r>
      <w:r w:rsidR="00F35F5A">
        <w:rPr>
          <w:rFonts w:ascii="Arial" w:eastAsia="Times New Roman" w:hAnsi="Arial" w:cs="Arial"/>
          <w:kern w:val="0"/>
          <w14:ligatures w14:val="none"/>
        </w:rPr>
        <w:t>diante</w:t>
      </w:r>
      <w:r w:rsidR="00026E44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026E44">
        <w:rPr>
          <w:rFonts w:ascii="Arial" w:eastAsia="Times New Roman" w:hAnsi="Arial" w:cs="Arial"/>
          <w:kern w:val="0"/>
          <w14:ligatures w14:val="none"/>
        </w:rPr>
        <w:t>charamaremos</w:t>
      </w:r>
      <w:proofErr w:type="spellEnd"/>
      <w:r w:rsidR="00026E44">
        <w:rPr>
          <w:rFonts w:ascii="Arial" w:eastAsia="Times New Roman" w:hAnsi="Arial" w:cs="Arial"/>
          <w:kern w:val="0"/>
          <w14:ligatures w14:val="none"/>
        </w:rPr>
        <w:t xml:space="preserve"> a </w:t>
      </w:r>
      <w:proofErr w:type="spellStart"/>
      <w:r w:rsidR="00026E44">
        <w:rPr>
          <w:rFonts w:ascii="Arial" w:eastAsia="Times New Roman" w:hAnsi="Arial" w:cs="Arial"/>
          <w:kern w:val="0"/>
          <w14:ligatures w14:val="none"/>
        </w:rPr>
        <w:t>paritr</w:t>
      </w:r>
      <w:proofErr w:type="spellEnd"/>
      <w:r w:rsidR="00026E44">
        <w:rPr>
          <w:rFonts w:ascii="Arial" w:eastAsia="Times New Roman" w:hAnsi="Arial" w:cs="Arial"/>
          <w:kern w:val="0"/>
          <w14:ligatures w14:val="none"/>
        </w:rPr>
        <w:t xml:space="preserve"> de agora depolimerase 2</w:t>
      </w:r>
      <w:r w:rsidRPr="00EA556A">
        <w:rPr>
          <w:rFonts w:ascii="Arial" w:eastAsia="Times New Roman" w:hAnsi="Arial" w:cs="Arial"/>
          <w:kern w:val="0"/>
          <w14:ligatures w14:val="none"/>
        </w:rPr>
        <w:t xml:space="preserve">. No caso específico da </w:t>
      </w:r>
      <w:r w:rsidR="00F35F5A">
        <w:rPr>
          <w:rFonts w:ascii="Arial" w:eastAsia="Times New Roman" w:hAnsi="Arial" w:cs="Arial"/>
          <w:kern w:val="0"/>
          <w14:ligatures w14:val="none"/>
        </w:rPr>
        <w:t>depolimerase 2</w:t>
      </w:r>
      <w:r w:rsidRPr="00EA556A">
        <w:rPr>
          <w:rFonts w:ascii="Arial" w:eastAsia="Times New Roman" w:hAnsi="Arial" w:cs="Arial"/>
          <w:kern w:val="0"/>
          <w14:ligatures w14:val="none"/>
        </w:rPr>
        <w:t xml:space="preserve">, esta degrada o serotipo capsular K21 de </w:t>
      </w:r>
      <w:proofErr w:type="spellStart"/>
      <w:r w:rsidRPr="00EA556A">
        <w:rPr>
          <w:rFonts w:ascii="Arial" w:eastAsia="Times New Roman" w:hAnsi="Arial" w:cs="Arial"/>
          <w:i/>
          <w:iCs/>
          <w:kern w:val="0"/>
          <w14:ligatures w14:val="none"/>
        </w:rPr>
        <w:t>Klebsiella</w:t>
      </w:r>
      <w:proofErr w:type="spellEnd"/>
      <w:r w:rsidRPr="00EA556A">
        <w:rPr>
          <w:rFonts w:ascii="Arial" w:eastAsia="Times New Roman" w:hAnsi="Arial" w:cs="Arial"/>
          <w:i/>
          <w:iCs/>
          <w:kern w:val="0"/>
          <w14:ligatures w14:val="none"/>
        </w:rPr>
        <w:t xml:space="preserve"> </w:t>
      </w:r>
      <w:proofErr w:type="spellStart"/>
      <w:r w:rsidRPr="00EA556A">
        <w:rPr>
          <w:rFonts w:ascii="Arial" w:eastAsia="Times New Roman" w:hAnsi="Arial" w:cs="Arial"/>
          <w:i/>
          <w:iCs/>
          <w:kern w:val="0"/>
          <w14:ligatures w14:val="none"/>
        </w:rPr>
        <w:t>pneumoniae</w:t>
      </w:r>
      <w:proofErr w:type="spellEnd"/>
      <w:r w:rsidRPr="00EA556A">
        <w:rPr>
          <w:rFonts w:ascii="Arial" w:eastAsia="Times New Roman" w:hAnsi="Arial" w:cs="Arial"/>
          <w:kern w:val="0"/>
          <w14:ligatures w14:val="none"/>
        </w:rPr>
        <w:t xml:space="preserve"> (</w:t>
      </w:r>
      <w:proofErr w:type="spellStart"/>
      <w:r w:rsidRPr="00EA556A">
        <w:rPr>
          <w:rFonts w:ascii="Arial" w:eastAsia="Times New Roman" w:hAnsi="Arial" w:cs="Arial"/>
          <w:kern w:val="0"/>
          <w14:ligatures w14:val="none"/>
        </w:rPr>
        <w:t>Majkowska-Skrobek</w:t>
      </w:r>
      <w:proofErr w:type="spellEnd"/>
      <w:r w:rsidRPr="00EA556A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A556A">
        <w:rPr>
          <w:rFonts w:ascii="Arial" w:eastAsia="Times New Roman" w:hAnsi="Arial" w:cs="Arial"/>
          <w:kern w:val="0"/>
          <w14:ligatures w14:val="none"/>
        </w:rPr>
        <w:t>et</w:t>
      </w:r>
      <w:proofErr w:type="spellEnd"/>
      <w:r w:rsidRPr="00EA556A">
        <w:rPr>
          <w:rFonts w:ascii="Arial" w:eastAsia="Times New Roman" w:hAnsi="Arial" w:cs="Arial"/>
          <w:kern w:val="0"/>
          <w14:ligatures w14:val="none"/>
        </w:rPr>
        <w:t xml:space="preserve"> al., 2018). A cápsula K21 é composta por um rácio de 2:2:1 de manose, galactose e ácido </w:t>
      </w:r>
      <w:proofErr w:type="spellStart"/>
      <w:r w:rsidRPr="00EA556A">
        <w:rPr>
          <w:rFonts w:ascii="Arial" w:eastAsia="Times New Roman" w:hAnsi="Arial" w:cs="Arial"/>
          <w:kern w:val="0"/>
          <w14:ligatures w14:val="none"/>
        </w:rPr>
        <w:t>glucurónico</w:t>
      </w:r>
      <w:proofErr w:type="spellEnd"/>
      <w:r w:rsidRPr="00EA556A">
        <w:rPr>
          <w:rFonts w:ascii="Arial" w:eastAsia="Times New Roman" w:hAnsi="Arial" w:cs="Arial"/>
          <w:kern w:val="0"/>
          <w14:ligatures w14:val="none"/>
        </w:rPr>
        <w:t xml:space="preserve">, contendo um grupo modificador de ácido pirúvico (Fontaine </w:t>
      </w:r>
      <w:proofErr w:type="spellStart"/>
      <w:r w:rsidRPr="00EA556A">
        <w:rPr>
          <w:rFonts w:ascii="Arial" w:eastAsia="Times New Roman" w:hAnsi="Arial" w:cs="Arial"/>
          <w:kern w:val="0"/>
          <w14:ligatures w14:val="none"/>
        </w:rPr>
        <w:t>et</w:t>
      </w:r>
      <w:proofErr w:type="spellEnd"/>
      <w:r w:rsidRPr="00EA556A">
        <w:rPr>
          <w:rFonts w:ascii="Arial" w:eastAsia="Times New Roman" w:hAnsi="Arial" w:cs="Arial"/>
          <w:kern w:val="0"/>
          <w14:ligatures w14:val="none"/>
        </w:rPr>
        <w:t xml:space="preserve"> al., 1991). </w:t>
      </w:r>
      <w:r w:rsidRPr="00EA556A">
        <w:rPr>
          <w:rFonts w:ascii="Arial" w:eastAsia="Times New Roman" w:hAnsi="Arial" w:cs="Arial"/>
          <w:kern w:val="0"/>
          <w:lang w:val="en-US"/>
          <w14:ligatures w14:val="none"/>
        </w:rPr>
        <w:t xml:space="preserve">A </w:t>
      </w:r>
      <w:proofErr w:type="spellStart"/>
      <w:r w:rsidRPr="00EA556A">
        <w:rPr>
          <w:rFonts w:ascii="Arial" w:eastAsia="Times New Roman" w:hAnsi="Arial" w:cs="Arial"/>
          <w:kern w:val="0"/>
          <w:lang w:val="en-US"/>
          <w14:ligatures w14:val="none"/>
        </w:rPr>
        <w:t>sua</w:t>
      </w:r>
      <w:proofErr w:type="spellEnd"/>
      <w:r w:rsidRPr="00EA556A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EA556A">
        <w:rPr>
          <w:rFonts w:ascii="Arial" w:eastAsia="Times New Roman" w:hAnsi="Arial" w:cs="Arial"/>
          <w:kern w:val="0"/>
          <w:lang w:val="en-US"/>
          <w14:ligatures w14:val="none"/>
        </w:rPr>
        <w:t>estrutura</w:t>
      </w:r>
      <w:proofErr w:type="spellEnd"/>
      <w:r w:rsidRPr="00EA556A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EA556A">
        <w:rPr>
          <w:rFonts w:ascii="Arial" w:eastAsia="Times New Roman" w:hAnsi="Arial" w:cs="Arial"/>
          <w:kern w:val="0"/>
          <w:lang w:val="en-US"/>
          <w14:ligatures w14:val="none"/>
        </w:rPr>
        <w:t>pode</w:t>
      </w:r>
      <w:proofErr w:type="spellEnd"/>
      <w:r w:rsidRPr="00EA556A">
        <w:rPr>
          <w:rFonts w:ascii="Arial" w:eastAsia="Times New Roman" w:hAnsi="Arial" w:cs="Arial"/>
          <w:kern w:val="0"/>
          <w:lang w:val="en-US"/>
          <w14:ligatures w14:val="none"/>
        </w:rPr>
        <w:t xml:space="preserve"> ser </w:t>
      </w:r>
      <w:proofErr w:type="spellStart"/>
      <w:r w:rsidRPr="00EA556A">
        <w:rPr>
          <w:rFonts w:ascii="Arial" w:eastAsia="Times New Roman" w:hAnsi="Arial" w:cs="Arial"/>
          <w:kern w:val="0"/>
          <w:lang w:val="en-US"/>
          <w14:ligatures w14:val="none"/>
        </w:rPr>
        <w:t>observada</w:t>
      </w:r>
      <w:proofErr w:type="spellEnd"/>
      <w:r w:rsidRPr="00EA556A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EA556A">
        <w:rPr>
          <w:rFonts w:ascii="Arial" w:eastAsia="Times New Roman" w:hAnsi="Arial" w:cs="Arial"/>
          <w:kern w:val="0"/>
          <w:lang w:val="en-US"/>
          <w14:ligatures w14:val="none"/>
        </w:rPr>
        <w:t>na</w:t>
      </w:r>
      <w:proofErr w:type="spellEnd"/>
      <w:r w:rsidRPr="00EA556A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EA556A">
        <w:rPr>
          <w:rFonts w:ascii="Arial" w:eastAsia="Times New Roman" w:hAnsi="Arial" w:cs="Arial"/>
          <w:kern w:val="0"/>
          <w:lang w:val="en-US"/>
          <w14:ligatures w14:val="none"/>
        </w:rPr>
        <w:t>Figura</w:t>
      </w:r>
      <w:proofErr w:type="spellEnd"/>
      <w:r w:rsidRPr="00EA556A">
        <w:rPr>
          <w:rFonts w:ascii="Arial" w:eastAsia="Times New Roman" w:hAnsi="Arial" w:cs="Arial"/>
          <w:kern w:val="0"/>
          <w:lang w:val="en-US"/>
          <w14:ligatures w14:val="none"/>
        </w:rPr>
        <w:t xml:space="preserve"> 2.</w:t>
      </w:r>
    </w:p>
    <w:p w14:paraId="283E2FB3" w14:textId="74B8B9DF" w:rsidR="00E9246E" w:rsidRPr="00EA556A" w:rsidRDefault="00E9246E" w:rsidP="00AA2AF7">
      <w:pPr>
        <w:pStyle w:val="Bibliografia"/>
        <w:spacing w:line="276" w:lineRule="auto"/>
        <w:rPr>
          <w:rFonts w:ascii="Arial" w:hAnsi="Arial" w:cs="Arial"/>
          <w:b/>
          <w:bCs/>
        </w:rPr>
      </w:pPr>
      <w:r w:rsidRPr="00EA556A">
        <w:rPr>
          <w:rFonts w:ascii="Arial" w:hAnsi="Arial" w:cs="Arial"/>
          <w:noProof/>
        </w:rPr>
        <w:drawing>
          <wp:inline distT="0" distB="0" distL="0" distR="0" wp14:anchorId="6DBF83AA" wp14:editId="766D52D5">
            <wp:extent cx="5612130" cy="2358390"/>
            <wp:effectExtent l="0" t="0" r="7620" b="3810"/>
            <wp:docPr id="1465585321" name="Imagem 3" descr="Uma imagem com captura de ecrã, Saturação de cores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585321" name="Imagem 3" descr="Uma imagem com captura de ecrã, Saturação de cores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35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DEA44" w14:textId="77777777" w:rsidR="007D0B40" w:rsidRPr="00EA556A" w:rsidRDefault="007D0B40" w:rsidP="00AA2AF7">
      <w:pPr>
        <w:spacing w:line="276" w:lineRule="auto"/>
        <w:rPr>
          <w:rFonts w:ascii="Arial" w:hAnsi="Arial" w:cs="Arial"/>
          <w:i/>
          <w:iCs/>
          <w:color w:val="0E2841" w:themeColor="text2"/>
        </w:rPr>
      </w:pPr>
      <w:r w:rsidRPr="00EA556A">
        <w:rPr>
          <w:rFonts w:ascii="Arial" w:hAnsi="Arial" w:cs="Arial"/>
          <w:i/>
          <w:iCs/>
          <w:color w:val="0E2841" w:themeColor="text2"/>
        </w:rPr>
        <w:t xml:space="preserve">Figura 2 - Estrutura química da cápsula K21 (Fonte: CSDB record ID 102478). Legenda: Manose (círculo verde), galactose (círculo amarelo), ácido </w:t>
      </w:r>
      <w:proofErr w:type="spellStart"/>
      <w:r w:rsidRPr="00EA556A">
        <w:rPr>
          <w:rFonts w:ascii="Arial" w:hAnsi="Arial" w:cs="Arial"/>
          <w:i/>
          <w:iCs/>
          <w:color w:val="0E2841" w:themeColor="text2"/>
        </w:rPr>
        <w:t>glucurónico</w:t>
      </w:r>
      <w:proofErr w:type="spellEnd"/>
      <w:r w:rsidRPr="00EA556A">
        <w:rPr>
          <w:rFonts w:ascii="Arial" w:hAnsi="Arial" w:cs="Arial"/>
          <w:i/>
          <w:iCs/>
          <w:color w:val="0E2841" w:themeColor="text2"/>
        </w:rPr>
        <w:t xml:space="preserve"> (quadrado azul e branco) e grupo de acetal pirúvico (pentágono preto).</w:t>
      </w:r>
    </w:p>
    <w:p w14:paraId="7ADB256F" w14:textId="6558C388" w:rsidR="00026E44" w:rsidRDefault="00026E44" w:rsidP="00AA2AF7">
      <w:pPr>
        <w:spacing w:line="276" w:lineRule="auto"/>
        <w:rPr>
          <w:rFonts w:ascii="Arial" w:hAnsi="Arial" w:cs="Arial"/>
        </w:rPr>
      </w:pPr>
      <w:r w:rsidRPr="00EA556A">
        <w:rPr>
          <w:rFonts w:ascii="Arial" w:eastAsia="Times New Roman" w:hAnsi="Arial" w:cs="Arial"/>
          <w:kern w:val="0"/>
          <w14:ligatures w14:val="none"/>
        </w:rPr>
        <w:t xml:space="preserve">A atividade enzimática de uma depolimerase </w:t>
      </w:r>
      <w:r w:rsidR="00F35F5A">
        <w:rPr>
          <w:rFonts w:ascii="Arial" w:eastAsia="Times New Roman" w:hAnsi="Arial" w:cs="Arial"/>
          <w:kern w:val="0"/>
          <w14:ligatures w14:val="none"/>
        </w:rPr>
        <w:t xml:space="preserve">2 </w:t>
      </w:r>
      <w:r w:rsidRPr="00EA556A">
        <w:rPr>
          <w:rFonts w:ascii="Arial" w:eastAsia="Times New Roman" w:hAnsi="Arial" w:cs="Arial"/>
          <w:kern w:val="0"/>
          <w14:ligatures w14:val="none"/>
        </w:rPr>
        <w:t xml:space="preserve">pode ser classificada como </w:t>
      </w:r>
      <w:proofErr w:type="spellStart"/>
      <w:r w:rsidRPr="00EA556A">
        <w:rPr>
          <w:rFonts w:ascii="Arial" w:eastAsia="Times New Roman" w:hAnsi="Arial" w:cs="Arial"/>
          <w:kern w:val="0"/>
          <w14:ligatures w14:val="none"/>
        </w:rPr>
        <w:t>hidrolase</w:t>
      </w:r>
      <w:proofErr w:type="spellEnd"/>
      <w:r w:rsidRPr="00EA556A">
        <w:rPr>
          <w:rFonts w:ascii="Arial" w:eastAsia="Times New Roman" w:hAnsi="Arial" w:cs="Arial"/>
          <w:kern w:val="0"/>
          <w14:ligatures w14:val="none"/>
        </w:rPr>
        <w:t xml:space="preserve"> (</w:t>
      </w:r>
      <w:proofErr w:type="spellStart"/>
      <w:r w:rsidRPr="00EA556A">
        <w:rPr>
          <w:rFonts w:ascii="Arial" w:eastAsia="Times New Roman" w:hAnsi="Arial" w:cs="Arial"/>
          <w:i/>
          <w:iCs/>
          <w:kern w:val="0"/>
          <w14:ligatures w14:val="none"/>
        </w:rPr>
        <w:t>hydrolase</w:t>
      </w:r>
      <w:proofErr w:type="spellEnd"/>
      <w:r w:rsidRPr="00EA556A">
        <w:rPr>
          <w:rFonts w:ascii="Arial" w:eastAsia="Times New Roman" w:hAnsi="Arial" w:cs="Arial"/>
          <w:kern w:val="0"/>
          <w14:ligatures w14:val="none"/>
        </w:rPr>
        <w:t>)</w:t>
      </w:r>
      <w:r w:rsidR="00F35F5A">
        <w:rPr>
          <w:rFonts w:ascii="Arial" w:eastAsia="Times New Roman" w:hAnsi="Arial" w:cs="Arial"/>
          <w:kern w:val="0"/>
          <w14:ligatures w14:val="none"/>
        </w:rPr>
        <w:t>, visto que</w:t>
      </w:r>
      <w:r w:rsidRPr="00EA556A">
        <w:rPr>
          <w:rFonts w:ascii="Arial" w:eastAsia="Times New Roman" w:hAnsi="Arial" w:cs="Arial"/>
          <w:kern w:val="0"/>
          <w14:ligatures w14:val="none"/>
        </w:rPr>
        <w:t xml:space="preserve"> cliva as ligações dos polissacarídeos utilizando uma molécula de água (</w:t>
      </w:r>
      <w:proofErr w:type="spellStart"/>
      <w:r w:rsidRPr="00EA556A">
        <w:rPr>
          <w:rFonts w:ascii="Arial" w:eastAsia="Times New Roman" w:hAnsi="Arial" w:cs="Arial"/>
          <w:kern w:val="0"/>
          <w14:ligatures w14:val="none"/>
        </w:rPr>
        <w:t>Latka</w:t>
      </w:r>
      <w:proofErr w:type="spellEnd"/>
      <w:r w:rsidRPr="00EA556A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A556A">
        <w:rPr>
          <w:rFonts w:ascii="Arial" w:eastAsia="Times New Roman" w:hAnsi="Arial" w:cs="Arial"/>
          <w:kern w:val="0"/>
          <w14:ligatures w14:val="none"/>
        </w:rPr>
        <w:t>et</w:t>
      </w:r>
      <w:proofErr w:type="spellEnd"/>
      <w:r w:rsidRPr="00EA556A">
        <w:rPr>
          <w:rFonts w:ascii="Arial" w:eastAsia="Times New Roman" w:hAnsi="Arial" w:cs="Arial"/>
          <w:kern w:val="0"/>
          <w14:ligatures w14:val="none"/>
        </w:rPr>
        <w:t xml:space="preserve"> al., 2019)</w:t>
      </w:r>
      <w:r w:rsidR="00F35F5A">
        <w:rPr>
          <w:rFonts w:ascii="Arial" w:eastAsia="Times New Roman" w:hAnsi="Arial" w:cs="Arial"/>
          <w:kern w:val="0"/>
          <w14:ligatures w14:val="none"/>
        </w:rPr>
        <w:t>.</w:t>
      </w:r>
    </w:p>
    <w:p w14:paraId="67550EE0" w14:textId="79F30386" w:rsidR="007D0B40" w:rsidRDefault="007D0B40" w:rsidP="00AA2AF7">
      <w:pPr>
        <w:spacing w:line="276" w:lineRule="auto"/>
        <w:rPr>
          <w:rFonts w:ascii="Arial" w:hAnsi="Arial" w:cs="Arial"/>
        </w:rPr>
      </w:pPr>
      <w:r w:rsidRPr="00EA556A">
        <w:rPr>
          <w:rFonts w:ascii="Arial" w:hAnsi="Arial" w:cs="Arial"/>
        </w:rPr>
        <w:lastRenderedPageBreak/>
        <w:t>Biologicamente, esta proteína desempenha a sua função quando se encontra sob a forma de um trímero. Ao contrário da KP32gp37, não apresenta uma região de ancoragem direta à partícula viral; em vez disso, possui na sua região N-terminal um domínio que demonstrou ter uma elevada afinidade para a região N-terminal da proteína gp37 (</w:t>
      </w:r>
      <w:proofErr w:type="spellStart"/>
      <w:r w:rsidRPr="00EA556A">
        <w:rPr>
          <w:rFonts w:ascii="Arial" w:hAnsi="Arial" w:cs="Arial"/>
        </w:rPr>
        <w:t>Squeglia</w:t>
      </w:r>
      <w:proofErr w:type="spellEnd"/>
      <w:r w:rsidRPr="00EA556A">
        <w:rPr>
          <w:rFonts w:ascii="Arial" w:hAnsi="Arial" w:cs="Arial"/>
        </w:rPr>
        <w:t xml:space="preserve"> </w:t>
      </w:r>
      <w:proofErr w:type="spellStart"/>
      <w:r w:rsidRPr="00EA556A">
        <w:rPr>
          <w:rFonts w:ascii="Arial" w:hAnsi="Arial" w:cs="Arial"/>
        </w:rPr>
        <w:t>et</w:t>
      </w:r>
      <w:proofErr w:type="spellEnd"/>
      <w:r w:rsidRPr="00EA556A">
        <w:rPr>
          <w:rFonts w:ascii="Arial" w:hAnsi="Arial" w:cs="Arial"/>
        </w:rPr>
        <w:t xml:space="preserve"> al., 2020).</w:t>
      </w:r>
    </w:p>
    <w:p w14:paraId="442E866D" w14:textId="2CD89DEB" w:rsidR="00026E44" w:rsidRPr="00EA556A" w:rsidRDefault="00026E44" w:rsidP="00AA2AF7">
      <w:pPr>
        <w:spacing w:line="276" w:lineRule="auto"/>
        <w:rPr>
          <w:rFonts w:ascii="Arial" w:hAnsi="Arial" w:cs="Arial"/>
        </w:rPr>
      </w:pPr>
      <w:r w:rsidRPr="000D01CA">
        <w:rPr>
          <w:rFonts w:ascii="Arial" w:hAnsi="Arial" w:cs="Arial"/>
        </w:rPr>
        <w:t xml:space="preserve">A sua estrutura tridimensional foi determinada experimentalmente por cristalografia de raios-X (PDB: </w:t>
      </w:r>
      <w:r w:rsidRPr="00026E44">
        <w:rPr>
          <w:rFonts w:ascii="Arial" w:hAnsi="Arial" w:cs="Arial"/>
        </w:rPr>
        <w:t>6TKU</w:t>
      </w:r>
      <w:r w:rsidRPr="000D01CA">
        <w:rPr>
          <w:rFonts w:ascii="Arial" w:hAnsi="Arial" w:cs="Arial"/>
        </w:rPr>
        <w:t>)</w:t>
      </w:r>
      <w:r w:rsidR="002E71BB">
        <w:rPr>
          <w:rFonts w:ascii="Arial" w:hAnsi="Arial" w:cs="Arial"/>
        </w:rPr>
        <w:t xml:space="preserve"> </w:t>
      </w:r>
      <w:r w:rsidR="002E71BB" w:rsidRPr="00EA556A">
        <w:rPr>
          <w:rFonts w:ascii="Arial" w:hAnsi="Arial" w:cs="Arial"/>
        </w:rPr>
        <w:t>(</w:t>
      </w:r>
      <w:proofErr w:type="spellStart"/>
      <w:r w:rsidR="002E71BB" w:rsidRPr="00EA556A">
        <w:rPr>
          <w:rFonts w:ascii="Arial" w:hAnsi="Arial" w:cs="Arial"/>
        </w:rPr>
        <w:t>Squeglia</w:t>
      </w:r>
      <w:proofErr w:type="spellEnd"/>
      <w:r w:rsidR="002E71BB" w:rsidRPr="00EA556A">
        <w:rPr>
          <w:rFonts w:ascii="Arial" w:hAnsi="Arial" w:cs="Arial"/>
        </w:rPr>
        <w:t xml:space="preserve"> </w:t>
      </w:r>
      <w:proofErr w:type="spellStart"/>
      <w:r w:rsidR="002E71BB" w:rsidRPr="00EA556A">
        <w:rPr>
          <w:rFonts w:ascii="Arial" w:hAnsi="Arial" w:cs="Arial"/>
        </w:rPr>
        <w:t>et</w:t>
      </w:r>
      <w:proofErr w:type="spellEnd"/>
      <w:r w:rsidR="002E71BB" w:rsidRPr="00EA556A">
        <w:rPr>
          <w:rFonts w:ascii="Arial" w:hAnsi="Arial" w:cs="Arial"/>
        </w:rPr>
        <w:t xml:space="preserve"> al., 2020)</w:t>
      </w:r>
      <w:r w:rsidRPr="000D01CA">
        <w:rPr>
          <w:rFonts w:ascii="Arial" w:hAnsi="Arial" w:cs="Arial"/>
        </w:rPr>
        <w:t>.</w:t>
      </w:r>
    </w:p>
    <w:p w14:paraId="42F0DE9E" w14:textId="46C238A8" w:rsidR="007D0B40" w:rsidRPr="00EA556A" w:rsidRDefault="009A44EF" w:rsidP="00E9246E">
      <w:pPr>
        <w:rPr>
          <w:rFonts w:ascii="Arial" w:hAnsi="Arial" w:cs="Arial"/>
          <w:b/>
          <w:bCs/>
        </w:rPr>
      </w:pPr>
      <w:r w:rsidRPr="000B1372">
        <w:rPr>
          <w:rFonts w:ascii="Arial" w:hAnsi="Arial" w:cs="Arial"/>
          <w:b/>
          <w:bCs/>
        </w:rPr>
        <w:t xml:space="preserve">GENE </w:t>
      </w:r>
      <w:r w:rsidRPr="000B1372">
        <w:rPr>
          <w:rFonts w:ascii="Arial" w:hAnsi="Arial" w:cs="Arial"/>
          <w:b/>
          <w:bCs/>
          <w:i/>
          <w:iCs/>
        </w:rPr>
        <w:t>KP32</w:t>
      </w:r>
      <w:r w:rsidRPr="00EA556A">
        <w:rPr>
          <w:rFonts w:ascii="Arial" w:hAnsi="Arial" w:cs="Arial"/>
          <w:b/>
          <w:bCs/>
          <w:i/>
          <w:iCs/>
        </w:rPr>
        <w:t>gp31</w:t>
      </w:r>
    </w:p>
    <w:p w14:paraId="1689A8EF" w14:textId="444CAE04" w:rsidR="000D01CA" w:rsidRPr="000D01CA" w:rsidRDefault="000D01CA" w:rsidP="000D01CA">
      <w:pPr>
        <w:rPr>
          <w:rFonts w:ascii="Arial" w:hAnsi="Arial" w:cs="Arial"/>
        </w:rPr>
      </w:pPr>
      <w:r w:rsidRPr="000D01CA">
        <w:rPr>
          <w:rFonts w:ascii="Arial" w:hAnsi="Arial" w:cs="Arial"/>
        </w:rPr>
        <w:t xml:space="preserve">O gene </w:t>
      </w:r>
      <w:r w:rsidRPr="000D01CA">
        <w:rPr>
          <w:rFonts w:ascii="Arial" w:hAnsi="Arial" w:cs="Arial"/>
          <w:i/>
          <w:iCs/>
        </w:rPr>
        <w:t>KP32gp31</w:t>
      </w:r>
      <w:r w:rsidRPr="000D01CA">
        <w:rPr>
          <w:rFonts w:ascii="Arial" w:hAnsi="Arial" w:cs="Arial"/>
        </w:rPr>
        <w:t xml:space="preserve"> possui um comprimento de 579 nucleótidos. Este gene localiza-se na cadeia 1 (</w:t>
      </w:r>
      <w:proofErr w:type="spellStart"/>
      <w:r w:rsidRPr="000D01CA">
        <w:rPr>
          <w:rFonts w:ascii="Arial" w:hAnsi="Arial" w:cs="Arial"/>
          <w:i/>
          <w:iCs/>
        </w:rPr>
        <w:t>strand</w:t>
      </w:r>
      <w:proofErr w:type="spellEnd"/>
      <w:r w:rsidRPr="000D01CA">
        <w:rPr>
          <w:rFonts w:ascii="Arial" w:hAnsi="Arial" w:cs="Arial"/>
        </w:rPr>
        <w:t xml:space="preserve"> 1) do genoma do bacteriófago </w:t>
      </w:r>
      <w:proofErr w:type="spellStart"/>
      <w:r w:rsidRPr="000D01CA">
        <w:rPr>
          <w:rFonts w:ascii="Arial" w:hAnsi="Arial" w:cs="Arial"/>
          <w:i/>
          <w:iCs/>
        </w:rPr>
        <w:t>Klebsiella</w:t>
      </w:r>
      <w:proofErr w:type="spellEnd"/>
      <w:r w:rsidRPr="000D01CA">
        <w:rPr>
          <w:rFonts w:ascii="Arial" w:hAnsi="Arial" w:cs="Arial"/>
        </w:rPr>
        <w:t xml:space="preserve"> KP32 (NC_013647.1), compreendendo a região entre as posições 23058 e 23636. Encontra-se registado no NCBI com o </w:t>
      </w:r>
      <w:r w:rsidRPr="000D01CA">
        <w:rPr>
          <w:rFonts w:ascii="Arial" w:hAnsi="Arial" w:cs="Arial"/>
          <w:i/>
          <w:iCs/>
        </w:rPr>
        <w:t>Gene ID</w:t>
      </w:r>
      <w:r w:rsidRPr="000D01CA">
        <w:rPr>
          <w:rFonts w:ascii="Arial" w:hAnsi="Arial" w:cs="Arial"/>
        </w:rPr>
        <w:t xml:space="preserve"> 8676095. Como não possui intrões, a sua sequência </w:t>
      </w:r>
      <w:proofErr w:type="spellStart"/>
      <w:r w:rsidRPr="000D01CA">
        <w:rPr>
          <w:rFonts w:ascii="Arial" w:hAnsi="Arial" w:cs="Arial"/>
        </w:rPr>
        <w:t>nucleotídica</w:t>
      </w:r>
      <w:proofErr w:type="spellEnd"/>
      <w:r w:rsidRPr="000D01CA">
        <w:rPr>
          <w:rFonts w:ascii="Arial" w:hAnsi="Arial" w:cs="Arial"/>
        </w:rPr>
        <w:t xml:space="preserve"> é integralmente traduzida.</w:t>
      </w:r>
    </w:p>
    <w:p w14:paraId="3A22A121" w14:textId="21F27C5B" w:rsidR="000D01CA" w:rsidRDefault="000D01CA" w:rsidP="000D01CA">
      <w:pPr>
        <w:rPr>
          <w:rFonts w:ascii="Arial" w:hAnsi="Arial" w:cs="Arial"/>
        </w:rPr>
      </w:pPr>
      <w:r w:rsidRPr="000D01CA">
        <w:rPr>
          <w:rFonts w:ascii="Arial" w:hAnsi="Arial" w:cs="Arial"/>
        </w:rPr>
        <w:t>A proteína codificada por este gene é constituída por 192 aminoácidos e será doravante designada por TTPA (</w:t>
      </w:r>
      <w:proofErr w:type="spellStart"/>
      <w:r w:rsidRPr="000D01CA">
        <w:rPr>
          <w:rFonts w:ascii="Arial" w:hAnsi="Arial" w:cs="Arial"/>
          <w:i/>
          <w:iCs/>
        </w:rPr>
        <w:t>Tail</w:t>
      </w:r>
      <w:proofErr w:type="spellEnd"/>
      <w:r w:rsidRPr="000D01CA">
        <w:rPr>
          <w:rFonts w:ascii="Arial" w:hAnsi="Arial" w:cs="Arial"/>
          <w:i/>
          <w:iCs/>
        </w:rPr>
        <w:t xml:space="preserve"> Tubular </w:t>
      </w:r>
      <w:proofErr w:type="spellStart"/>
      <w:r w:rsidRPr="000D01CA">
        <w:rPr>
          <w:rFonts w:ascii="Arial" w:hAnsi="Arial" w:cs="Arial"/>
          <w:i/>
          <w:iCs/>
        </w:rPr>
        <w:t>Protein</w:t>
      </w:r>
      <w:proofErr w:type="spellEnd"/>
      <w:r w:rsidRPr="000D01CA">
        <w:rPr>
          <w:rFonts w:ascii="Arial" w:hAnsi="Arial" w:cs="Arial"/>
          <w:i/>
          <w:iCs/>
        </w:rPr>
        <w:t xml:space="preserve"> A</w:t>
      </w:r>
      <w:r w:rsidRPr="000D01CA">
        <w:rPr>
          <w:rFonts w:ascii="Arial" w:hAnsi="Arial" w:cs="Arial"/>
        </w:rPr>
        <w:t xml:space="preserve">). Esta proteína apresenta uma massa molecular aparente de 21,63 </w:t>
      </w:r>
      <w:proofErr w:type="spellStart"/>
      <w:r w:rsidRPr="000D01CA">
        <w:rPr>
          <w:rFonts w:ascii="Arial" w:hAnsi="Arial" w:cs="Arial"/>
        </w:rPr>
        <w:t>kDa</w:t>
      </w:r>
      <w:proofErr w:type="spellEnd"/>
      <w:r w:rsidRPr="000D01CA">
        <w:rPr>
          <w:rFonts w:ascii="Arial" w:hAnsi="Arial" w:cs="Arial"/>
        </w:rPr>
        <w:t xml:space="preserve"> (</w:t>
      </w:r>
      <w:proofErr w:type="spellStart"/>
      <w:r w:rsidRPr="000D01CA">
        <w:rPr>
          <w:rFonts w:ascii="Arial" w:hAnsi="Arial" w:cs="Arial"/>
        </w:rPr>
        <w:t>Pyra</w:t>
      </w:r>
      <w:proofErr w:type="spellEnd"/>
      <w:r w:rsidRPr="000D01CA">
        <w:rPr>
          <w:rFonts w:ascii="Arial" w:hAnsi="Arial" w:cs="Arial"/>
        </w:rPr>
        <w:t xml:space="preserve"> </w:t>
      </w:r>
      <w:proofErr w:type="spellStart"/>
      <w:r w:rsidRPr="000D01CA">
        <w:rPr>
          <w:rFonts w:ascii="Arial" w:hAnsi="Arial" w:cs="Arial"/>
        </w:rPr>
        <w:t>et</w:t>
      </w:r>
      <w:proofErr w:type="spellEnd"/>
      <w:r w:rsidRPr="000D01CA">
        <w:rPr>
          <w:rFonts w:ascii="Arial" w:hAnsi="Arial" w:cs="Arial"/>
        </w:rPr>
        <w:t xml:space="preserve"> al., 2017) e localiza-se na interface entre a cabeça e a cauda do bacteriófago </w:t>
      </w:r>
      <w:proofErr w:type="spellStart"/>
      <w:r w:rsidRPr="000D01CA">
        <w:rPr>
          <w:rFonts w:ascii="Arial" w:hAnsi="Arial" w:cs="Arial"/>
          <w:i/>
          <w:iCs/>
        </w:rPr>
        <w:t>Klebsiella</w:t>
      </w:r>
      <w:proofErr w:type="spellEnd"/>
      <w:r w:rsidRPr="000D01CA">
        <w:rPr>
          <w:rFonts w:ascii="Arial" w:hAnsi="Arial" w:cs="Arial"/>
          <w:i/>
          <w:iCs/>
        </w:rPr>
        <w:t xml:space="preserve"> </w:t>
      </w:r>
      <w:proofErr w:type="spellStart"/>
      <w:r w:rsidRPr="000D01CA">
        <w:rPr>
          <w:rFonts w:ascii="Arial" w:hAnsi="Arial" w:cs="Arial"/>
          <w:i/>
          <w:iCs/>
        </w:rPr>
        <w:t>pneumoniae</w:t>
      </w:r>
      <w:proofErr w:type="spellEnd"/>
      <w:r w:rsidRPr="000D01CA">
        <w:rPr>
          <w:rFonts w:ascii="Arial" w:hAnsi="Arial" w:cs="Arial"/>
        </w:rPr>
        <w:t xml:space="preserve"> KP32</w:t>
      </w:r>
      <w:r w:rsidR="00026E44">
        <w:rPr>
          <w:rFonts w:ascii="Arial" w:hAnsi="Arial" w:cs="Arial"/>
        </w:rPr>
        <w:t xml:space="preserve"> </w:t>
      </w:r>
      <w:r w:rsidR="00026E44" w:rsidRPr="00026E44">
        <w:rPr>
          <w:rFonts w:ascii="Arial" w:hAnsi="Arial" w:cs="Arial"/>
        </w:rPr>
        <w:t>(</w:t>
      </w:r>
      <w:proofErr w:type="spellStart"/>
      <w:r w:rsidR="00026E44" w:rsidRPr="00026E44">
        <w:rPr>
          <w:rFonts w:ascii="Arial" w:hAnsi="Arial" w:cs="Arial"/>
        </w:rPr>
        <w:t>Brzozowska</w:t>
      </w:r>
      <w:proofErr w:type="spellEnd"/>
      <w:r w:rsidR="00026E44" w:rsidRPr="00026E44">
        <w:rPr>
          <w:rFonts w:ascii="Arial" w:hAnsi="Arial" w:cs="Arial"/>
        </w:rPr>
        <w:t xml:space="preserve"> </w:t>
      </w:r>
      <w:proofErr w:type="spellStart"/>
      <w:r w:rsidR="00026E44" w:rsidRPr="00026E44">
        <w:rPr>
          <w:rFonts w:ascii="Arial" w:hAnsi="Arial" w:cs="Arial"/>
        </w:rPr>
        <w:t>et</w:t>
      </w:r>
      <w:proofErr w:type="spellEnd"/>
      <w:r w:rsidR="00026E44" w:rsidRPr="00026E44">
        <w:rPr>
          <w:rFonts w:ascii="Arial" w:hAnsi="Arial" w:cs="Arial"/>
        </w:rPr>
        <w:t xml:space="preserve"> al., 2017)</w:t>
      </w:r>
      <w:r w:rsidRPr="000D01CA">
        <w:rPr>
          <w:rFonts w:ascii="Arial" w:hAnsi="Arial" w:cs="Arial"/>
        </w:rPr>
        <w:t>.</w:t>
      </w:r>
    </w:p>
    <w:p w14:paraId="5D8C53B1" w14:textId="77777777" w:rsidR="000D01CA" w:rsidRPr="000D01CA" w:rsidRDefault="000D01CA" w:rsidP="000D01CA">
      <w:pPr>
        <w:rPr>
          <w:rFonts w:ascii="Arial" w:hAnsi="Arial" w:cs="Arial"/>
        </w:rPr>
      </w:pPr>
      <w:r w:rsidRPr="000D01CA">
        <w:rPr>
          <w:rFonts w:ascii="Arial" w:hAnsi="Arial" w:cs="Arial"/>
        </w:rPr>
        <w:t>A TTPA desempenha funções estruturais essenciais, servindo como ponto de fixação para os espigões da cauda (</w:t>
      </w:r>
      <w:proofErr w:type="spellStart"/>
      <w:r w:rsidRPr="000D01CA">
        <w:rPr>
          <w:rFonts w:ascii="Arial" w:hAnsi="Arial" w:cs="Arial"/>
          <w:i/>
          <w:iCs/>
        </w:rPr>
        <w:t>tailspikes</w:t>
      </w:r>
      <w:proofErr w:type="spellEnd"/>
      <w:r w:rsidRPr="000D01CA">
        <w:rPr>
          <w:rFonts w:ascii="Arial" w:hAnsi="Arial" w:cs="Arial"/>
        </w:rPr>
        <w:t>) e participando na adesão do fago às células hospedeiras (</w:t>
      </w:r>
      <w:proofErr w:type="spellStart"/>
      <w:r w:rsidRPr="000D01CA">
        <w:rPr>
          <w:rFonts w:ascii="Arial" w:hAnsi="Arial" w:cs="Arial"/>
        </w:rPr>
        <w:t>Pyra</w:t>
      </w:r>
      <w:proofErr w:type="spellEnd"/>
      <w:r w:rsidRPr="000D01CA">
        <w:rPr>
          <w:rFonts w:ascii="Arial" w:hAnsi="Arial" w:cs="Arial"/>
        </w:rPr>
        <w:t xml:space="preserve"> </w:t>
      </w:r>
      <w:proofErr w:type="spellStart"/>
      <w:r w:rsidRPr="000D01CA">
        <w:rPr>
          <w:rFonts w:ascii="Arial" w:hAnsi="Arial" w:cs="Arial"/>
        </w:rPr>
        <w:t>et</w:t>
      </w:r>
      <w:proofErr w:type="spellEnd"/>
      <w:r w:rsidRPr="000D01CA">
        <w:rPr>
          <w:rFonts w:ascii="Arial" w:hAnsi="Arial" w:cs="Arial"/>
        </w:rPr>
        <w:t xml:space="preserve"> al., 2017; </w:t>
      </w:r>
      <w:proofErr w:type="spellStart"/>
      <w:r w:rsidRPr="000D01CA">
        <w:rPr>
          <w:rFonts w:ascii="Arial" w:hAnsi="Arial" w:cs="Arial"/>
        </w:rPr>
        <w:t>Pyra</w:t>
      </w:r>
      <w:proofErr w:type="spellEnd"/>
      <w:r w:rsidRPr="000D01CA">
        <w:rPr>
          <w:rFonts w:ascii="Arial" w:hAnsi="Arial" w:cs="Arial"/>
        </w:rPr>
        <w:t xml:space="preserve"> </w:t>
      </w:r>
      <w:proofErr w:type="spellStart"/>
      <w:r w:rsidRPr="000D01CA">
        <w:rPr>
          <w:rFonts w:ascii="Arial" w:hAnsi="Arial" w:cs="Arial"/>
        </w:rPr>
        <w:t>et</w:t>
      </w:r>
      <w:proofErr w:type="spellEnd"/>
      <w:r w:rsidRPr="000D01CA">
        <w:rPr>
          <w:rFonts w:ascii="Arial" w:hAnsi="Arial" w:cs="Arial"/>
        </w:rPr>
        <w:t xml:space="preserve"> al., 2020).</w:t>
      </w:r>
    </w:p>
    <w:p w14:paraId="6B738BEF" w14:textId="77777777" w:rsidR="000D01CA" w:rsidRPr="000D01CA" w:rsidRDefault="000D01CA" w:rsidP="000D01CA">
      <w:pPr>
        <w:rPr>
          <w:rFonts w:ascii="Arial" w:hAnsi="Arial" w:cs="Arial"/>
        </w:rPr>
      </w:pPr>
      <w:r w:rsidRPr="000D01CA">
        <w:rPr>
          <w:rFonts w:ascii="Arial" w:hAnsi="Arial" w:cs="Arial"/>
        </w:rPr>
        <w:t xml:space="preserve">Contudo, além do papel estrutural, esta proteína revela uma função dupla, possuindo também atividade enzimática. Foi demonstrado que a TTPA exibe atividade de depolimerase contra a cápsula de </w:t>
      </w:r>
      <w:proofErr w:type="spellStart"/>
      <w:r w:rsidRPr="000D01CA">
        <w:rPr>
          <w:rFonts w:ascii="Arial" w:hAnsi="Arial" w:cs="Arial"/>
          <w:i/>
          <w:iCs/>
        </w:rPr>
        <w:t>Klebsiella</w:t>
      </w:r>
      <w:proofErr w:type="spellEnd"/>
      <w:r w:rsidRPr="000D01CA">
        <w:rPr>
          <w:rFonts w:ascii="Arial" w:hAnsi="Arial" w:cs="Arial"/>
          <w:i/>
          <w:iCs/>
        </w:rPr>
        <w:t xml:space="preserve"> </w:t>
      </w:r>
      <w:proofErr w:type="spellStart"/>
      <w:r w:rsidRPr="000D01CA">
        <w:rPr>
          <w:rFonts w:ascii="Arial" w:hAnsi="Arial" w:cs="Arial"/>
          <w:i/>
          <w:iCs/>
        </w:rPr>
        <w:t>pneumoniae</w:t>
      </w:r>
      <w:proofErr w:type="spellEnd"/>
      <w:r w:rsidRPr="000D01CA">
        <w:rPr>
          <w:rFonts w:ascii="Arial" w:hAnsi="Arial" w:cs="Arial"/>
        </w:rPr>
        <w:t xml:space="preserve"> (</w:t>
      </w:r>
      <w:proofErr w:type="spellStart"/>
      <w:r w:rsidRPr="000D01CA">
        <w:rPr>
          <w:rFonts w:ascii="Arial" w:hAnsi="Arial" w:cs="Arial"/>
        </w:rPr>
        <w:t>Pyra</w:t>
      </w:r>
      <w:proofErr w:type="spellEnd"/>
      <w:r w:rsidRPr="000D01CA">
        <w:rPr>
          <w:rFonts w:ascii="Arial" w:hAnsi="Arial" w:cs="Arial"/>
        </w:rPr>
        <w:t xml:space="preserve"> </w:t>
      </w:r>
      <w:proofErr w:type="spellStart"/>
      <w:r w:rsidRPr="000D01CA">
        <w:rPr>
          <w:rFonts w:ascii="Arial" w:hAnsi="Arial" w:cs="Arial"/>
        </w:rPr>
        <w:t>et</w:t>
      </w:r>
      <w:proofErr w:type="spellEnd"/>
      <w:r w:rsidRPr="000D01CA">
        <w:rPr>
          <w:rFonts w:ascii="Arial" w:hAnsi="Arial" w:cs="Arial"/>
        </w:rPr>
        <w:t xml:space="preserve"> al., 2017). Sugere-se que atue potencialmente como uma </w:t>
      </w:r>
      <w:proofErr w:type="spellStart"/>
      <w:r w:rsidRPr="000D01CA">
        <w:rPr>
          <w:rFonts w:ascii="Arial" w:hAnsi="Arial" w:cs="Arial"/>
        </w:rPr>
        <w:t>glicosil-hidrolase</w:t>
      </w:r>
      <w:proofErr w:type="spellEnd"/>
      <w:r w:rsidRPr="000D01CA">
        <w:rPr>
          <w:rFonts w:ascii="Arial" w:hAnsi="Arial" w:cs="Arial"/>
        </w:rPr>
        <w:t>, dado ter-se observado que a TTPA exibe a sua atividade ótima a pH 5,5, uma característica típica desta classe de enzimas (</w:t>
      </w:r>
      <w:proofErr w:type="spellStart"/>
      <w:r w:rsidRPr="000D01CA">
        <w:rPr>
          <w:rFonts w:ascii="Arial" w:hAnsi="Arial" w:cs="Arial"/>
        </w:rPr>
        <w:t>Pyra</w:t>
      </w:r>
      <w:proofErr w:type="spellEnd"/>
      <w:r w:rsidRPr="000D01CA">
        <w:rPr>
          <w:rFonts w:ascii="Arial" w:hAnsi="Arial" w:cs="Arial"/>
        </w:rPr>
        <w:t xml:space="preserve"> </w:t>
      </w:r>
      <w:proofErr w:type="spellStart"/>
      <w:r w:rsidRPr="000D01CA">
        <w:rPr>
          <w:rFonts w:ascii="Arial" w:hAnsi="Arial" w:cs="Arial"/>
        </w:rPr>
        <w:t>et</w:t>
      </w:r>
      <w:proofErr w:type="spellEnd"/>
      <w:r w:rsidRPr="000D01CA">
        <w:rPr>
          <w:rFonts w:ascii="Arial" w:hAnsi="Arial" w:cs="Arial"/>
        </w:rPr>
        <w:t xml:space="preserve"> al., 2017).</w:t>
      </w:r>
    </w:p>
    <w:p w14:paraId="4ACC3979" w14:textId="77777777" w:rsidR="000D01CA" w:rsidRPr="000D01CA" w:rsidRDefault="000D01CA" w:rsidP="000D01CA">
      <w:pPr>
        <w:rPr>
          <w:rFonts w:ascii="Arial" w:hAnsi="Arial" w:cs="Arial"/>
        </w:rPr>
      </w:pPr>
      <w:r w:rsidRPr="000D01CA">
        <w:rPr>
          <w:rFonts w:ascii="Arial" w:hAnsi="Arial" w:cs="Arial"/>
        </w:rPr>
        <w:t xml:space="preserve">Para desempenhar a sua função biológica, a proteína organiza-se numa estrutura quaternária </w:t>
      </w:r>
      <w:proofErr w:type="spellStart"/>
      <w:r w:rsidRPr="000D01CA">
        <w:rPr>
          <w:rFonts w:ascii="Arial" w:hAnsi="Arial" w:cs="Arial"/>
        </w:rPr>
        <w:t>tetramérica</w:t>
      </w:r>
      <w:proofErr w:type="spellEnd"/>
      <w:r w:rsidRPr="000D01CA">
        <w:rPr>
          <w:rFonts w:ascii="Arial" w:hAnsi="Arial" w:cs="Arial"/>
        </w:rPr>
        <w:t>, constituída por quatro subunidades de TTPA idênticas (</w:t>
      </w:r>
      <w:proofErr w:type="spellStart"/>
      <w:r w:rsidRPr="000D01CA">
        <w:rPr>
          <w:rFonts w:ascii="Arial" w:hAnsi="Arial" w:cs="Arial"/>
        </w:rPr>
        <w:t>Pyra</w:t>
      </w:r>
      <w:proofErr w:type="spellEnd"/>
      <w:r w:rsidRPr="000D01CA">
        <w:rPr>
          <w:rFonts w:ascii="Arial" w:hAnsi="Arial" w:cs="Arial"/>
        </w:rPr>
        <w:t xml:space="preserve"> </w:t>
      </w:r>
      <w:proofErr w:type="spellStart"/>
      <w:r w:rsidRPr="000D01CA">
        <w:rPr>
          <w:rFonts w:ascii="Arial" w:hAnsi="Arial" w:cs="Arial"/>
        </w:rPr>
        <w:t>et</w:t>
      </w:r>
      <w:proofErr w:type="spellEnd"/>
      <w:r w:rsidRPr="000D01CA">
        <w:rPr>
          <w:rFonts w:ascii="Arial" w:hAnsi="Arial" w:cs="Arial"/>
        </w:rPr>
        <w:t xml:space="preserve"> al., 2017). A sua estrutura tridimensional foi determinada experimentalmente por cristalografia de raios-X (PDB: 5MU4) (</w:t>
      </w:r>
      <w:proofErr w:type="spellStart"/>
      <w:r w:rsidRPr="000D01CA">
        <w:rPr>
          <w:rFonts w:ascii="Arial" w:hAnsi="Arial" w:cs="Arial"/>
        </w:rPr>
        <w:t>Pyra</w:t>
      </w:r>
      <w:proofErr w:type="spellEnd"/>
      <w:r w:rsidRPr="000D01CA">
        <w:rPr>
          <w:rFonts w:ascii="Arial" w:hAnsi="Arial" w:cs="Arial"/>
        </w:rPr>
        <w:t xml:space="preserve"> </w:t>
      </w:r>
      <w:proofErr w:type="spellStart"/>
      <w:r w:rsidRPr="000D01CA">
        <w:rPr>
          <w:rFonts w:ascii="Arial" w:hAnsi="Arial" w:cs="Arial"/>
        </w:rPr>
        <w:t>et</w:t>
      </w:r>
      <w:proofErr w:type="spellEnd"/>
      <w:r w:rsidRPr="000D01CA">
        <w:rPr>
          <w:rFonts w:ascii="Arial" w:hAnsi="Arial" w:cs="Arial"/>
        </w:rPr>
        <w:t xml:space="preserve"> al., 2017).</w:t>
      </w:r>
    </w:p>
    <w:p w14:paraId="77488759" w14:textId="77777777" w:rsidR="00C95A8F" w:rsidRPr="00C95A8F" w:rsidRDefault="00C95A8F" w:rsidP="00C95A8F">
      <w:pPr>
        <w:rPr>
          <w:rFonts w:ascii="Arial" w:hAnsi="Arial" w:cs="Arial"/>
        </w:rPr>
      </w:pPr>
      <w:r w:rsidRPr="00C95A8F">
        <w:rPr>
          <w:rFonts w:ascii="Arial" w:hAnsi="Arial" w:cs="Arial"/>
          <w:b/>
          <w:bCs/>
        </w:rPr>
        <w:t xml:space="preserve">GENE </w:t>
      </w:r>
      <w:r w:rsidRPr="00C95A8F">
        <w:rPr>
          <w:rFonts w:ascii="Arial" w:hAnsi="Arial" w:cs="Arial"/>
          <w:b/>
          <w:bCs/>
          <w:i/>
          <w:iCs/>
        </w:rPr>
        <w:t>KP32gp15</w:t>
      </w:r>
    </w:p>
    <w:p w14:paraId="347D52A0" w14:textId="386507F1" w:rsidR="00C95A8F" w:rsidRPr="00C95A8F" w:rsidRDefault="00C95A8F" w:rsidP="00C95A8F">
      <w:pPr>
        <w:rPr>
          <w:rFonts w:ascii="Arial" w:hAnsi="Arial" w:cs="Arial"/>
        </w:rPr>
      </w:pPr>
      <w:r w:rsidRPr="00C95A8F">
        <w:rPr>
          <w:rFonts w:ascii="Arial" w:hAnsi="Arial" w:cs="Arial"/>
        </w:rPr>
        <w:t xml:space="preserve">O gene </w:t>
      </w:r>
      <w:r w:rsidRPr="00C95A8F">
        <w:rPr>
          <w:rFonts w:ascii="Arial" w:hAnsi="Arial" w:cs="Arial"/>
          <w:i/>
          <w:iCs/>
        </w:rPr>
        <w:t>KP32gp15</w:t>
      </w:r>
      <w:r w:rsidRPr="00C95A8F">
        <w:rPr>
          <w:rFonts w:ascii="Arial" w:hAnsi="Arial" w:cs="Arial"/>
        </w:rPr>
        <w:t xml:space="preserve"> possui um comprimento de 456 nucleótidos. Este gene localiza-se na cadeia 1 (</w:t>
      </w:r>
      <w:proofErr w:type="spellStart"/>
      <w:r w:rsidRPr="00C95A8F">
        <w:rPr>
          <w:rFonts w:ascii="Arial" w:hAnsi="Arial" w:cs="Arial"/>
          <w:i/>
          <w:iCs/>
        </w:rPr>
        <w:t>strand</w:t>
      </w:r>
      <w:proofErr w:type="spellEnd"/>
      <w:r w:rsidRPr="00C95A8F">
        <w:rPr>
          <w:rFonts w:ascii="Arial" w:hAnsi="Arial" w:cs="Arial"/>
          <w:i/>
          <w:iCs/>
        </w:rPr>
        <w:t xml:space="preserve"> 1</w:t>
      </w:r>
      <w:r w:rsidRPr="00C95A8F">
        <w:rPr>
          <w:rFonts w:ascii="Arial" w:hAnsi="Arial" w:cs="Arial"/>
        </w:rPr>
        <w:t xml:space="preserve">) do genoma do bacteriófago </w:t>
      </w:r>
      <w:proofErr w:type="spellStart"/>
      <w:r w:rsidRPr="00C95A8F">
        <w:rPr>
          <w:rFonts w:ascii="Arial" w:hAnsi="Arial" w:cs="Arial"/>
          <w:i/>
          <w:iCs/>
        </w:rPr>
        <w:t>Klebsiella</w:t>
      </w:r>
      <w:proofErr w:type="spellEnd"/>
      <w:r w:rsidRPr="00C95A8F">
        <w:rPr>
          <w:rFonts w:ascii="Arial" w:hAnsi="Arial" w:cs="Arial"/>
        </w:rPr>
        <w:t xml:space="preserve"> KP32</w:t>
      </w:r>
      <w:r>
        <w:rPr>
          <w:rFonts w:ascii="Arial" w:hAnsi="Arial" w:cs="Arial"/>
        </w:rPr>
        <w:t xml:space="preserve"> </w:t>
      </w:r>
      <w:r w:rsidRPr="00C95A8F">
        <w:rPr>
          <w:rFonts w:ascii="Arial" w:hAnsi="Arial" w:cs="Arial"/>
        </w:rPr>
        <w:t>(NC_013647.1), compreendendo a região entre as posições 10420</w:t>
      </w:r>
      <w:r>
        <w:rPr>
          <w:rFonts w:ascii="Arial" w:hAnsi="Arial" w:cs="Arial"/>
        </w:rPr>
        <w:t xml:space="preserve"> e </w:t>
      </w:r>
      <w:r w:rsidRPr="00C95A8F">
        <w:rPr>
          <w:rFonts w:ascii="Arial" w:hAnsi="Arial" w:cs="Arial"/>
        </w:rPr>
        <w:t xml:space="preserve">10875. </w:t>
      </w:r>
      <w:r w:rsidRPr="00C95A8F">
        <w:rPr>
          <w:rFonts w:ascii="Arial" w:hAnsi="Arial" w:cs="Arial"/>
        </w:rPr>
        <w:lastRenderedPageBreak/>
        <w:t xml:space="preserve">Encontra-se registado no NCBI com o </w:t>
      </w:r>
      <w:r w:rsidRPr="00C95A8F">
        <w:rPr>
          <w:rFonts w:ascii="Arial" w:hAnsi="Arial" w:cs="Arial"/>
          <w:i/>
          <w:iCs/>
        </w:rPr>
        <w:t>Gene ID</w:t>
      </w:r>
      <w:r w:rsidRPr="00C95A8F">
        <w:rPr>
          <w:rFonts w:ascii="Arial" w:hAnsi="Arial" w:cs="Arial"/>
        </w:rPr>
        <w:t xml:space="preserve"> 8676079. Como não possui intrões, a sua sequência </w:t>
      </w:r>
      <w:proofErr w:type="spellStart"/>
      <w:r w:rsidRPr="00C95A8F">
        <w:rPr>
          <w:rFonts w:ascii="Arial" w:hAnsi="Arial" w:cs="Arial"/>
        </w:rPr>
        <w:t>nucleotídica</w:t>
      </w:r>
      <w:proofErr w:type="spellEnd"/>
      <w:r w:rsidRPr="00C95A8F">
        <w:rPr>
          <w:rFonts w:ascii="Arial" w:hAnsi="Arial" w:cs="Arial"/>
        </w:rPr>
        <w:t xml:space="preserve"> é integralmente traduzida.</w:t>
      </w:r>
    </w:p>
    <w:p w14:paraId="4EAD3276" w14:textId="722390A4" w:rsidR="000B1372" w:rsidRPr="00C95A8F" w:rsidRDefault="00C95A8F" w:rsidP="00C95A8F">
      <w:pPr>
        <w:rPr>
          <w:rFonts w:ascii="Arial" w:hAnsi="Arial" w:cs="Arial"/>
        </w:rPr>
      </w:pPr>
      <w:r w:rsidRPr="00C95A8F">
        <w:rPr>
          <w:rFonts w:ascii="Arial" w:hAnsi="Arial" w:cs="Arial"/>
        </w:rPr>
        <w:t xml:space="preserve">A proteína codificada por este gene é constituída por 151 aminoácidos e será doravante designada por </w:t>
      </w:r>
      <w:proofErr w:type="spellStart"/>
      <w:r w:rsidRPr="00C95A8F">
        <w:rPr>
          <w:rFonts w:ascii="Arial" w:hAnsi="Arial" w:cs="Arial"/>
        </w:rPr>
        <w:t>endolisina</w:t>
      </w:r>
      <w:proofErr w:type="spellEnd"/>
      <w:r w:rsidRPr="00C95A8F">
        <w:rPr>
          <w:rFonts w:ascii="Arial" w:hAnsi="Arial" w:cs="Arial"/>
        </w:rPr>
        <w:t xml:space="preserve"> KP32gp15. Esta proteína é caracterizada como uma </w:t>
      </w:r>
      <w:proofErr w:type="spellStart"/>
      <w:r w:rsidRPr="00C95A8F">
        <w:rPr>
          <w:rFonts w:ascii="Arial" w:hAnsi="Arial" w:cs="Arial"/>
        </w:rPr>
        <w:t>endolisina</w:t>
      </w:r>
      <w:proofErr w:type="spellEnd"/>
      <w:r w:rsidRPr="00C95A8F">
        <w:rPr>
          <w:rFonts w:ascii="Arial" w:hAnsi="Arial" w:cs="Arial"/>
        </w:rPr>
        <w:t xml:space="preserve"> globular com uma massa molecular aproximada de 16,4 </w:t>
      </w:r>
      <w:proofErr w:type="spellStart"/>
      <w:r w:rsidRPr="00C95A8F">
        <w:rPr>
          <w:rFonts w:ascii="Arial" w:hAnsi="Arial" w:cs="Arial"/>
        </w:rPr>
        <w:t>kDa</w:t>
      </w:r>
      <w:proofErr w:type="spellEnd"/>
      <w:r w:rsidRPr="00C95A8F">
        <w:rPr>
          <w:rFonts w:ascii="Arial" w:hAnsi="Arial" w:cs="Arial"/>
        </w:rPr>
        <w:t xml:space="preserve"> (</w:t>
      </w:r>
      <w:proofErr w:type="spellStart"/>
      <w:r w:rsidRPr="00C95A8F">
        <w:rPr>
          <w:rFonts w:ascii="Arial" w:hAnsi="Arial" w:cs="Arial"/>
        </w:rPr>
        <w:t>Walmagh</w:t>
      </w:r>
      <w:proofErr w:type="spellEnd"/>
      <w:r w:rsidRPr="00C95A8F">
        <w:rPr>
          <w:rFonts w:ascii="Arial" w:hAnsi="Arial" w:cs="Arial"/>
        </w:rPr>
        <w:t xml:space="preserve"> </w:t>
      </w:r>
      <w:proofErr w:type="spellStart"/>
      <w:r w:rsidRPr="00C95A8F">
        <w:rPr>
          <w:rFonts w:ascii="Arial" w:hAnsi="Arial" w:cs="Arial"/>
        </w:rPr>
        <w:t>et</w:t>
      </w:r>
      <w:proofErr w:type="spellEnd"/>
      <w:r w:rsidRPr="00C95A8F">
        <w:rPr>
          <w:rFonts w:ascii="Arial" w:hAnsi="Arial" w:cs="Arial"/>
        </w:rPr>
        <w:t xml:space="preserve"> al., 2013). Sendo uma enzima lítica de origem </w:t>
      </w:r>
      <w:proofErr w:type="spellStart"/>
      <w:r w:rsidRPr="00C95A8F">
        <w:rPr>
          <w:rFonts w:ascii="Arial" w:hAnsi="Arial" w:cs="Arial"/>
        </w:rPr>
        <w:t>bacteriofágica</w:t>
      </w:r>
      <w:proofErr w:type="spellEnd"/>
      <w:r w:rsidRPr="00C95A8F">
        <w:rPr>
          <w:rFonts w:ascii="Arial" w:hAnsi="Arial" w:cs="Arial"/>
        </w:rPr>
        <w:t>, a sua função pri</w:t>
      </w:r>
      <w:r>
        <w:rPr>
          <w:rFonts w:ascii="Arial" w:hAnsi="Arial" w:cs="Arial"/>
        </w:rPr>
        <w:t>mária</w:t>
      </w:r>
      <w:r w:rsidRPr="00C95A8F">
        <w:rPr>
          <w:rFonts w:ascii="Arial" w:hAnsi="Arial" w:cs="Arial"/>
        </w:rPr>
        <w:t xml:space="preserve"> ocorr</w:t>
      </w:r>
      <w:r>
        <w:rPr>
          <w:rFonts w:ascii="Arial" w:hAnsi="Arial" w:cs="Arial"/>
        </w:rPr>
        <w:t xml:space="preserve">e </w:t>
      </w:r>
      <w:r w:rsidRPr="00C95A8F">
        <w:rPr>
          <w:rFonts w:ascii="Arial" w:hAnsi="Arial" w:cs="Arial"/>
        </w:rPr>
        <w:t xml:space="preserve">na fase tardia do ciclo de infeção, onde é responsável pela lise da parede celular do hospedeiro, permitindo a libertação dos </w:t>
      </w:r>
      <w:proofErr w:type="spellStart"/>
      <w:r w:rsidRPr="00C95A8F">
        <w:rPr>
          <w:rFonts w:ascii="Arial" w:hAnsi="Arial" w:cs="Arial"/>
        </w:rPr>
        <w:t>viriões</w:t>
      </w:r>
      <w:proofErr w:type="spellEnd"/>
      <w:r w:rsidRPr="00C95A8F">
        <w:rPr>
          <w:rFonts w:ascii="Arial" w:hAnsi="Arial" w:cs="Arial"/>
        </w:rPr>
        <w:t xml:space="preserve"> </w:t>
      </w:r>
      <w:proofErr w:type="spellStart"/>
      <w:r w:rsidRPr="00C95A8F">
        <w:rPr>
          <w:rFonts w:ascii="Arial" w:hAnsi="Arial" w:cs="Arial"/>
        </w:rPr>
        <w:t>recémformados</w:t>
      </w:r>
      <w:proofErr w:type="spellEnd"/>
      <w:r w:rsidRPr="00C95A8F">
        <w:rPr>
          <w:rFonts w:ascii="Arial" w:hAnsi="Arial" w:cs="Arial"/>
        </w:rPr>
        <w:t xml:space="preserve"> para o meio extracelular (</w:t>
      </w:r>
      <w:proofErr w:type="spellStart"/>
      <w:r w:rsidRPr="00C95A8F">
        <w:rPr>
          <w:rFonts w:ascii="Arial" w:hAnsi="Arial" w:cs="Arial"/>
        </w:rPr>
        <w:t>Walmagh</w:t>
      </w:r>
      <w:proofErr w:type="spellEnd"/>
      <w:r w:rsidRPr="00C95A8F">
        <w:rPr>
          <w:rFonts w:ascii="Arial" w:hAnsi="Arial" w:cs="Arial"/>
        </w:rPr>
        <w:t xml:space="preserve"> </w:t>
      </w:r>
      <w:proofErr w:type="spellStart"/>
      <w:r w:rsidRPr="00C95A8F">
        <w:rPr>
          <w:rFonts w:ascii="Arial" w:hAnsi="Arial" w:cs="Arial"/>
        </w:rPr>
        <w:t>et</w:t>
      </w:r>
      <w:proofErr w:type="spellEnd"/>
      <w:r w:rsidRPr="00C95A8F">
        <w:rPr>
          <w:rFonts w:ascii="Arial" w:hAnsi="Arial" w:cs="Arial"/>
        </w:rPr>
        <w:t xml:space="preserve"> al., 2013).</w:t>
      </w:r>
    </w:p>
    <w:p w14:paraId="3A954483" w14:textId="3F7876D0" w:rsidR="000951A5" w:rsidRPr="000B1372" w:rsidRDefault="00C95A8F" w:rsidP="0015784A">
      <w:pPr>
        <w:rPr>
          <w:rFonts w:ascii="Arial" w:hAnsi="Arial" w:cs="Arial"/>
        </w:rPr>
      </w:pPr>
      <w:r w:rsidRPr="00C95A8F">
        <w:rPr>
          <w:rFonts w:ascii="Arial" w:hAnsi="Arial" w:cs="Arial"/>
        </w:rPr>
        <w:t xml:space="preserve">Relativamente à sua atividade enzimática, as </w:t>
      </w:r>
      <w:proofErr w:type="spellStart"/>
      <w:r w:rsidRPr="00C95A8F">
        <w:rPr>
          <w:rFonts w:ascii="Arial" w:hAnsi="Arial" w:cs="Arial"/>
        </w:rPr>
        <w:t>endolisinas</w:t>
      </w:r>
      <w:proofErr w:type="spellEnd"/>
      <w:r w:rsidRPr="00C95A8F">
        <w:rPr>
          <w:rFonts w:ascii="Arial" w:hAnsi="Arial" w:cs="Arial"/>
        </w:rPr>
        <w:t xml:space="preserve"> apresentam diferentes especificidades catalíticas, podendo atuar no esqueleto de açúcar do peptidoglicano (</w:t>
      </w:r>
      <w:r w:rsidR="003C1EA6">
        <w:rPr>
          <w:rFonts w:ascii="Arial" w:hAnsi="Arial" w:cs="Arial"/>
        </w:rPr>
        <w:t>componente principal da parede bacteriana</w:t>
      </w:r>
      <w:r w:rsidRPr="00C95A8F">
        <w:rPr>
          <w:rFonts w:ascii="Arial" w:hAnsi="Arial" w:cs="Arial"/>
        </w:rPr>
        <w:t xml:space="preserve">). No caso específico da KP32gp15, esta classifica-se como uma </w:t>
      </w:r>
      <w:proofErr w:type="spellStart"/>
      <w:r w:rsidRPr="00C95A8F">
        <w:rPr>
          <w:rFonts w:ascii="Arial" w:hAnsi="Arial" w:cs="Arial"/>
        </w:rPr>
        <w:t>amidase</w:t>
      </w:r>
      <w:proofErr w:type="spellEnd"/>
      <w:r w:rsidRPr="000B1372">
        <w:rPr>
          <w:rFonts w:ascii="Arial" w:hAnsi="Arial" w:cs="Arial"/>
        </w:rPr>
        <w:t xml:space="preserve">, uma vez que cliva as ligações amida entre o esqueleto de glicano e o péptido lateral que estabiliza </w:t>
      </w:r>
      <w:r w:rsidR="003C1EA6" w:rsidRPr="000B1372">
        <w:rPr>
          <w:rFonts w:ascii="Arial" w:hAnsi="Arial" w:cs="Arial"/>
        </w:rPr>
        <w:t>o peptidoglicano</w:t>
      </w:r>
      <w:r w:rsidRPr="000B1372">
        <w:rPr>
          <w:rFonts w:ascii="Arial" w:hAnsi="Arial" w:cs="Arial"/>
        </w:rPr>
        <w:t>, distinguindo-se assim das enzimas que atacam apenas as ligações glicosídicas (</w:t>
      </w:r>
      <w:proofErr w:type="spellStart"/>
      <w:r w:rsidRPr="000B1372">
        <w:rPr>
          <w:rFonts w:ascii="Arial" w:hAnsi="Arial" w:cs="Arial"/>
        </w:rPr>
        <w:t>Walmagh</w:t>
      </w:r>
      <w:proofErr w:type="spellEnd"/>
      <w:r w:rsidRPr="000B1372">
        <w:rPr>
          <w:rFonts w:ascii="Arial" w:hAnsi="Arial" w:cs="Arial"/>
        </w:rPr>
        <w:t xml:space="preserve"> </w:t>
      </w:r>
      <w:proofErr w:type="spellStart"/>
      <w:r w:rsidRPr="000B1372">
        <w:rPr>
          <w:rFonts w:ascii="Arial" w:hAnsi="Arial" w:cs="Arial"/>
        </w:rPr>
        <w:t>et</w:t>
      </w:r>
      <w:proofErr w:type="spellEnd"/>
      <w:r w:rsidRPr="000B1372">
        <w:rPr>
          <w:rFonts w:ascii="Arial" w:hAnsi="Arial" w:cs="Arial"/>
        </w:rPr>
        <w:t xml:space="preserve"> al., 2013).</w:t>
      </w:r>
    </w:p>
    <w:p w14:paraId="57026DE4" w14:textId="766BA965" w:rsidR="000B1372" w:rsidRPr="00C95A8F" w:rsidRDefault="000B1372" w:rsidP="0015784A">
      <w:pPr>
        <w:rPr>
          <w:rFonts w:ascii="Arial" w:hAnsi="Arial" w:cs="Arial"/>
        </w:rPr>
      </w:pPr>
      <w:r w:rsidRPr="000B1372">
        <w:rPr>
          <w:rFonts w:ascii="Arial" w:hAnsi="Arial" w:cs="Arial"/>
        </w:rPr>
        <w:t xml:space="preserve">Estruturalmente, a KP32gp15 distingue-se por ser uma </w:t>
      </w:r>
      <w:proofErr w:type="spellStart"/>
      <w:r w:rsidRPr="000B1372">
        <w:rPr>
          <w:rFonts w:ascii="Arial" w:hAnsi="Arial" w:cs="Arial"/>
        </w:rPr>
        <w:t>endolisina</w:t>
      </w:r>
      <w:proofErr w:type="spellEnd"/>
      <w:r w:rsidRPr="000B1372">
        <w:rPr>
          <w:rFonts w:ascii="Arial" w:hAnsi="Arial" w:cs="Arial"/>
        </w:rPr>
        <w:t xml:space="preserve"> globular, possuindo um único domínio catalítico sem domínios de ligação à parede celular independentes, uma configuração típica em fagos de bactérias Gram-negativas (</w:t>
      </w:r>
      <w:proofErr w:type="spellStart"/>
      <w:r w:rsidRPr="000B1372">
        <w:rPr>
          <w:rFonts w:ascii="Arial" w:hAnsi="Arial" w:cs="Arial"/>
        </w:rPr>
        <w:t>Walmagh</w:t>
      </w:r>
      <w:proofErr w:type="spellEnd"/>
      <w:r w:rsidRPr="000B1372">
        <w:rPr>
          <w:rFonts w:ascii="Arial" w:hAnsi="Arial" w:cs="Arial"/>
        </w:rPr>
        <w:t xml:space="preserve"> </w:t>
      </w:r>
      <w:proofErr w:type="spellStart"/>
      <w:r w:rsidRPr="000B1372">
        <w:rPr>
          <w:rFonts w:ascii="Arial" w:hAnsi="Arial" w:cs="Arial"/>
        </w:rPr>
        <w:t>et</w:t>
      </w:r>
      <w:proofErr w:type="spellEnd"/>
      <w:r w:rsidRPr="000B1372">
        <w:rPr>
          <w:rFonts w:ascii="Arial" w:hAnsi="Arial" w:cs="Arial"/>
        </w:rPr>
        <w:t xml:space="preserve"> al., 2013).</w:t>
      </w:r>
    </w:p>
    <w:p w14:paraId="2ECC364B" w14:textId="3930B304" w:rsidR="0015784A" w:rsidRPr="000951A5" w:rsidRDefault="00B500AE" w:rsidP="00026E44">
      <w:pPr>
        <w:pStyle w:val="Bibliografia"/>
        <w:spacing w:line="360" w:lineRule="auto"/>
        <w:rPr>
          <w:rFonts w:ascii="Arial" w:hAnsi="Arial" w:cs="Arial"/>
          <w:b/>
          <w:bCs/>
        </w:rPr>
      </w:pPr>
      <w:r w:rsidRPr="000951A5">
        <w:rPr>
          <w:rFonts w:ascii="Arial" w:hAnsi="Arial" w:cs="Arial"/>
          <w:b/>
          <w:bCs/>
        </w:rPr>
        <w:t>Bibliografia</w:t>
      </w:r>
    </w:p>
    <w:p w14:paraId="3494E33A" w14:textId="721B9C31" w:rsidR="00026E44" w:rsidRPr="00026E44" w:rsidRDefault="00026E44" w:rsidP="00026E44">
      <w:pPr>
        <w:pStyle w:val="Bibliografia"/>
        <w:numPr>
          <w:ilvl w:val="0"/>
          <w:numId w:val="1"/>
        </w:numPr>
        <w:spacing w:line="360" w:lineRule="auto"/>
        <w:rPr>
          <w:rFonts w:ascii="Arial" w:hAnsi="Arial" w:cs="Arial"/>
        </w:rPr>
      </w:pPr>
      <w:proofErr w:type="spellStart"/>
      <w:r w:rsidRPr="000B1372">
        <w:rPr>
          <w:rFonts w:ascii="Arial" w:hAnsi="Arial" w:cs="Arial"/>
        </w:rPr>
        <w:t>Brzozowska</w:t>
      </w:r>
      <w:proofErr w:type="spellEnd"/>
      <w:r w:rsidRPr="000B1372">
        <w:rPr>
          <w:rFonts w:ascii="Arial" w:hAnsi="Arial" w:cs="Arial"/>
        </w:rPr>
        <w:t xml:space="preserve">, E., </w:t>
      </w:r>
      <w:proofErr w:type="spellStart"/>
      <w:r w:rsidRPr="000B1372">
        <w:rPr>
          <w:rFonts w:ascii="Arial" w:hAnsi="Arial" w:cs="Arial"/>
        </w:rPr>
        <w:t>Pyra</w:t>
      </w:r>
      <w:proofErr w:type="spellEnd"/>
      <w:r w:rsidRPr="000B1372">
        <w:rPr>
          <w:rFonts w:ascii="Arial" w:hAnsi="Arial" w:cs="Arial"/>
        </w:rPr>
        <w:t xml:space="preserve">, A., </w:t>
      </w:r>
      <w:proofErr w:type="spellStart"/>
      <w:r w:rsidRPr="000B1372">
        <w:rPr>
          <w:rFonts w:ascii="Arial" w:hAnsi="Arial" w:cs="Arial"/>
        </w:rPr>
        <w:t>Pawlik</w:t>
      </w:r>
      <w:proofErr w:type="spellEnd"/>
      <w:r w:rsidRPr="000B1372">
        <w:rPr>
          <w:rFonts w:ascii="Arial" w:hAnsi="Arial" w:cs="Arial"/>
        </w:rPr>
        <w:t xml:space="preserve">, K., </w:t>
      </w:r>
      <w:proofErr w:type="spellStart"/>
      <w:r w:rsidRPr="000B1372">
        <w:rPr>
          <w:rFonts w:ascii="Arial" w:hAnsi="Arial" w:cs="Arial"/>
        </w:rPr>
        <w:t>Janik</w:t>
      </w:r>
      <w:proofErr w:type="spellEnd"/>
      <w:r w:rsidRPr="000B1372">
        <w:rPr>
          <w:rFonts w:ascii="Arial" w:hAnsi="Arial" w:cs="Arial"/>
        </w:rPr>
        <w:t xml:space="preserve">, M., </w:t>
      </w:r>
      <w:proofErr w:type="spellStart"/>
      <w:r w:rsidRPr="000B1372">
        <w:rPr>
          <w:rFonts w:ascii="Arial" w:hAnsi="Arial" w:cs="Arial"/>
        </w:rPr>
        <w:t>Górska</w:t>
      </w:r>
      <w:proofErr w:type="spellEnd"/>
      <w:r w:rsidRPr="000B1372">
        <w:rPr>
          <w:rFonts w:ascii="Arial" w:hAnsi="Arial" w:cs="Arial"/>
        </w:rPr>
        <w:t xml:space="preserve">, S., </w:t>
      </w:r>
      <w:proofErr w:type="spellStart"/>
      <w:r w:rsidRPr="000B1372">
        <w:rPr>
          <w:rFonts w:ascii="Arial" w:hAnsi="Arial" w:cs="Arial"/>
        </w:rPr>
        <w:t>Urbańska</w:t>
      </w:r>
      <w:proofErr w:type="spellEnd"/>
      <w:r w:rsidRPr="000B1372">
        <w:rPr>
          <w:rFonts w:ascii="Arial" w:hAnsi="Arial" w:cs="Arial"/>
        </w:rPr>
        <w:t xml:space="preserve">, N., </w:t>
      </w:r>
      <w:proofErr w:type="spellStart"/>
      <w:r w:rsidRPr="000B1372">
        <w:rPr>
          <w:rFonts w:ascii="Arial" w:hAnsi="Arial" w:cs="Arial"/>
        </w:rPr>
        <w:t>Drulis-Kawa</w:t>
      </w:r>
      <w:proofErr w:type="spellEnd"/>
      <w:r w:rsidRPr="000B1372">
        <w:rPr>
          <w:rFonts w:ascii="Arial" w:hAnsi="Arial" w:cs="Arial"/>
        </w:rPr>
        <w:t xml:space="preserve">, Z., &amp; </w:t>
      </w:r>
      <w:proofErr w:type="spellStart"/>
      <w:r w:rsidRPr="000B1372">
        <w:rPr>
          <w:rFonts w:ascii="Arial" w:hAnsi="Arial" w:cs="Arial"/>
        </w:rPr>
        <w:t>Gamian</w:t>
      </w:r>
      <w:proofErr w:type="spellEnd"/>
      <w:r w:rsidRPr="000B1372">
        <w:rPr>
          <w:rFonts w:ascii="Arial" w:hAnsi="Arial" w:cs="Arial"/>
        </w:rPr>
        <w:t xml:space="preserve">, A. (2017). </w:t>
      </w:r>
      <w:r w:rsidRPr="00026E44">
        <w:rPr>
          <w:rFonts w:ascii="Arial" w:hAnsi="Arial" w:cs="Arial"/>
          <w:lang w:val="en-US"/>
        </w:rPr>
        <w:t xml:space="preserve">Hydrolytic activity determination of Tail Tubular Protein A of Klebsiella pneumoniae bacteriophages towards saccharide substrates. </w:t>
      </w:r>
      <w:proofErr w:type="spellStart"/>
      <w:r w:rsidRPr="00026E44">
        <w:rPr>
          <w:rFonts w:ascii="Arial" w:hAnsi="Arial" w:cs="Arial"/>
          <w:i/>
          <w:iCs/>
        </w:rPr>
        <w:t>Scientific</w:t>
      </w:r>
      <w:proofErr w:type="spellEnd"/>
      <w:r w:rsidRPr="00026E44">
        <w:rPr>
          <w:rFonts w:ascii="Arial" w:hAnsi="Arial" w:cs="Arial"/>
          <w:i/>
          <w:iCs/>
        </w:rPr>
        <w:t xml:space="preserve"> </w:t>
      </w:r>
      <w:proofErr w:type="spellStart"/>
      <w:r w:rsidRPr="00026E44">
        <w:rPr>
          <w:rFonts w:ascii="Arial" w:hAnsi="Arial" w:cs="Arial"/>
          <w:i/>
          <w:iCs/>
        </w:rPr>
        <w:t>Reports</w:t>
      </w:r>
      <w:proofErr w:type="spellEnd"/>
      <w:r w:rsidRPr="00026E44">
        <w:rPr>
          <w:rFonts w:ascii="Arial" w:hAnsi="Arial" w:cs="Arial"/>
        </w:rPr>
        <w:t xml:space="preserve">, </w:t>
      </w:r>
      <w:r w:rsidRPr="00026E44">
        <w:rPr>
          <w:rFonts w:ascii="Arial" w:hAnsi="Arial" w:cs="Arial"/>
          <w:i/>
          <w:iCs/>
        </w:rPr>
        <w:t>7</w:t>
      </w:r>
      <w:r w:rsidRPr="00026E44">
        <w:rPr>
          <w:rFonts w:ascii="Arial" w:hAnsi="Arial" w:cs="Arial"/>
        </w:rPr>
        <w:t>(1), 18048. https://doi.org/10.1038/s41598-017-18096-1</w:t>
      </w:r>
    </w:p>
    <w:p w14:paraId="0C259B0C" w14:textId="5A01E19A" w:rsidR="00026E44" w:rsidRPr="00026E44" w:rsidRDefault="009A5D71" w:rsidP="00026E44">
      <w:pPr>
        <w:pStyle w:val="Bibliografia"/>
        <w:numPr>
          <w:ilvl w:val="0"/>
          <w:numId w:val="1"/>
        </w:numPr>
        <w:spacing w:line="360" w:lineRule="auto"/>
        <w:rPr>
          <w:rFonts w:ascii="Arial" w:hAnsi="Arial" w:cs="Arial"/>
          <w:lang w:val="en-US"/>
        </w:rPr>
      </w:pPr>
      <w:r w:rsidRPr="00EA556A">
        <w:rPr>
          <w:rFonts w:ascii="Arial" w:hAnsi="Arial" w:cs="Arial"/>
          <w:lang w:val="en-US"/>
        </w:rPr>
        <w:t xml:space="preserve">Fontaine, T., </w:t>
      </w:r>
      <w:proofErr w:type="spellStart"/>
      <w:r w:rsidRPr="00EA556A">
        <w:rPr>
          <w:rFonts w:ascii="Arial" w:hAnsi="Arial" w:cs="Arial"/>
          <w:lang w:val="en-US"/>
        </w:rPr>
        <w:t>Talmont</w:t>
      </w:r>
      <w:proofErr w:type="spellEnd"/>
      <w:r w:rsidRPr="00EA556A">
        <w:rPr>
          <w:rFonts w:ascii="Arial" w:hAnsi="Arial" w:cs="Arial"/>
          <w:lang w:val="en-US"/>
        </w:rPr>
        <w:t xml:space="preserve">, F., Dutton, G. G. S., &amp; Fournet, B. (1991). Analysis of pyruvic acid acetal containing polysaccharides by </w:t>
      </w:r>
      <w:proofErr w:type="spellStart"/>
      <w:r w:rsidRPr="00EA556A">
        <w:rPr>
          <w:rFonts w:ascii="Arial" w:hAnsi="Arial" w:cs="Arial"/>
          <w:lang w:val="en-US"/>
        </w:rPr>
        <w:t>methanolysis</w:t>
      </w:r>
      <w:proofErr w:type="spellEnd"/>
      <w:r w:rsidRPr="00EA556A">
        <w:rPr>
          <w:rFonts w:ascii="Arial" w:hAnsi="Arial" w:cs="Arial"/>
          <w:lang w:val="en-US"/>
        </w:rPr>
        <w:t xml:space="preserve"> and reductive cleavage methods. </w:t>
      </w:r>
      <w:r w:rsidRPr="00EA556A">
        <w:rPr>
          <w:rFonts w:ascii="Arial" w:hAnsi="Arial" w:cs="Arial"/>
          <w:i/>
          <w:iCs/>
          <w:lang w:val="en-US"/>
        </w:rPr>
        <w:t>Analytical Biochemistry</w:t>
      </w:r>
      <w:r w:rsidRPr="00EA556A">
        <w:rPr>
          <w:rFonts w:ascii="Arial" w:hAnsi="Arial" w:cs="Arial"/>
          <w:lang w:val="en-US"/>
        </w:rPr>
        <w:t xml:space="preserve">, </w:t>
      </w:r>
      <w:r w:rsidRPr="00EA556A">
        <w:rPr>
          <w:rFonts w:ascii="Arial" w:hAnsi="Arial" w:cs="Arial"/>
          <w:i/>
          <w:iCs/>
          <w:lang w:val="en-US"/>
        </w:rPr>
        <w:t>199</w:t>
      </w:r>
      <w:r w:rsidRPr="00EA556A">
        <w:rPr>
          <w:rFonts w:ascii="Arial" w:hAnsi="Arial" w:cs="Arial"/>
          <w:lang w:val="en-US"/>
        </w:rPr>
        <w:t xml:space="preserve">(2), 154–161. </w:t>
      </w:r>
      <w:hyperlink r:id="rId7" w:history="1">
        <w:r w:rsidR="00026E44" w:rsidRPr="00F10EC9">
          <w:rPr>
            <w:rStyle w:val="Hiperligao"/>
            <w:rFonts w:ascii="Arial" w:hAnsi="Arial" w:cs="Arial"/>
            <w:lang w:val="en-US"/>
          </w:rPr>
          <w:t>https://doi.org/10.1016/0003-2697(91)90083-6</w:t>
        </w:r>
      </w:hyperlink>
    </w:p>
    <w:p w14:paraId="1300E52A" w14:textId="0D8BC135" w:rsidR="0015784A" w:rsidRPr="00EA556A" w:rsidRDefault="009A5D71" w:rsidP="00026E44">
      <w:pPr>
        <w:pStyle w:val="Bibliografia"/>
        <w:numPr>
          <w:ilvl w:val="0"/>
          <w:numId w:val="1"/>
        </w:numPr>
        <w:spacing w:line="360" w:lineRule="auto"/>
        <w:rPr>
          <w:rFonts w:ascii="Arial" w:hAnsi="Arial" w:cs="Arial"/>
          <w:lang w:val="en-US"/>
        </w:rPr>
      </w:pPr>
      <w:r w:rsidRPr="00EA556A">
        <w:rPr>
          <w:rFonts w:ascii="Arial" w:hAnsi="Arial" w:cs="Arial"/>
          <w:lang w:val="en-US"/>
        </w:rPr>
        <w:t xml:space="preserve">Klumpp, J., Dunne, M., &amp; </w:t>
      </w:r>
      <w:proofErr w:type="spellStart"/>
      <w:r w:rsidRPr="00EA556A">
        <w:rPr>
          <w:rFonts w:ascii="Arial" w:hAnsi="Arial" w:cs="Arial"/>
          <w:lang w:val="en-US"/>
        </w:rPr>
        <w:t>Loessner</w:t>
      </w:r>
      <w:proofErr w:type="spellEnd"/>
      <w:r w:rsidRPr="00EA556A">
        <w:rPr>
          <w:rFonts w:ascii="Arial" w:hAnsi="Arial" w:cs="Arial"/>
          <w:lang w:val="en-US"/>
        </w:rPr>
        <w:t xml:space="preserve">, M. J. (2023). A perfect fit: Bacteriophage receptor-binding proteins for diagnostic and therapeutic applications. </w:t>
      </w:r>
      <w:r w:rsidRPr="00EA556A">
        <w:rPr>
          <w:rFonts w:ascii="Arial" w:hAnsi="Arial" w:cs="Arial"/>
          <w:i/>
          <w:iCs/>
          <w:lang w:val="en-US"/>
        </w:rPr>
        <w:t>Current Opinion in Microbiology</w:t>
      </w:r>
      <w:r w:rsidRPr="00EA556A">
        <w:rPr>
          <w:rFonts w:ascii="Arial" w:hAnsi="Arial" w:cs="Arial"/>
          <w:lang w:val="en-US"/>
        </w:rPr>
        <w:t xml:space="preserve">, </w:t>
      </w:r>
      <w:r w:rsidRPr="00EA556A">
        <w:rPr>
          <w:rFonts w:ascii="Arial" w:hAnsi="Arial" w:cs="Arial"/>
          <w:i/>
          <w:iCs/>
          <w:lang w:val="en-US"/>
        </w:rPr>
        <w:t>71</w:t>
      </w:r>
      <w:r w:rsidRPr="00EA556A">
        <w:rPr>
          <w:rFonts w:ascii="Arial" w:hAnsi="Arial" w:cs="Arial"/>
          <w:lang w:val="en-US"/>
        </w:rPr>
        <w:t xml:space="preserve">, 102240. </w:t>
      </w:r>
      <w:hyperlink r:id="rId8" w:history="1">
        <w:r w:rsidR="0015784A" w:rsidRPr="00EA556A">
          <w:rPr>
            <w:rStyle w:val="Hiperligao"/>
            <w:rFonts w:ascii="Arial" w:hAnsi="Arial" w:cs="Arial"/>
            <w:lang w:val="en-US"/>
          </w:rPr>
          <w:t>https://doi.org/10.1016/j.mib.2022.102240</w:t>
        </w:r>
      </w:hyperlink>
    </w:p>
    <w:p w14:paraId="1061B3F7" w14:textId="54C13451" w:rsidR="009A5D71" w:rsidRPr="00EA556A" w:rsidRDefault="009A5D71" w:rsidP="00026E44">
      <w:pPr>
        <w:pStyle w:val="Bibliografia"/>
        <w:numPr>
          <w:ilvl w:val="0"/>
          <w:numId w:val="1"/>
        </w:numPr>
        <w:spacing w:line="360" w:lineRule="auto"/>
        <w:rPr>
          <w:rFonts w:ascii="Arial" w:hAnsi="Arial" w:cs="Arial"/>
          <w:lang w:val="en-US"/>
        </w:rPr>
      </w:pPr>
      <w:r w:rsidRPr="00EA556A">
        <w:rPr>
          <w:rFonts w:ascii="Arial" w:hAnsi="Arial" w:cs="Arial"/>
          <w:lang w:val="en-US"/>
        </w:rPr>
        <w:lastRenderedPageBreak/>
        <w:t xml:space="preserve">Latka, A., Leiman, P. G., </w:t>
      </w:r>
      <w:proofErr w:type="spellStart"/>
      <w:r w:rsidRPr="00EA556A">
        <w:rPr>
          <w:rFonts w:ascii="Arial" w:hAnsi="Arial" w:cs="Arial"/>
          <w:lang w:val="en-US"/>
        </w:rPr>
        <w:t>Drulis</w:t>
      </w:r>
      <w:proofErr w:type="spellEnd"/>
      <w:r w:rsidRPr="00EA556A">
        <w:rPr>
          <w:rFonts w:ascii="Arial" w:hAnsi="Arial" w:cs="Arial"/>
          <w:lang w:val="en-US"/>
        </w:rPr>
        <w:t xml:space="preserve">-Kawa, Z., &amp; Briers, Y. (2019). Modeling the Architecture of Depolymerase-Containing Receptor Binding Proteins in Klebsiella Phages. </w:t>
      </w:r>
      <w:r w:rsidRPr="00EA556A">
        <w:rPr>
          <w:rFonts w:ascii="Arial" w:hAnsi="Arial" w:cs="Arial"/>
          <w:i/>
          <w:iCs/>
          <w:lang w:val="en-US"/>
        </w:rPr>
        <w:t>Frontiers in Microbiology</w:t>
      </w:r>
      <w:r w:rsidRPr="00EA556A">
        <w:rPr>
          <w:rFonts w:ascii="Arial" w:hAnsi="Arial" w:cs="Arial"/>
          <w:lang w:val="en-US"/>
        </w:rPr>
        <w:t xml:space="preserve">, </w:t>
      </w:r>
      <w:r w:rsidRPr="00EA556A">
        <w:rPr>
          <w:rFonts w:ascii="Arial" w:hAnsi="Arial" w:cs="Arial"/>
          <w:i/>
          <w:iCs/>
          <w:lang w:val="en-US"/>
        </w:rPr>
        <w:t>10</w:t>
      </w:r>
      <w:r w:rsidRPr="00EA556A">
        <w:rPr>
          <w:rFonts w:ascii="Arial" w:hAnsi="Arial" w:cs="Arial"/>
          <w:lang w:val="en-US"/>
        </w:rPr>
        <w:t>. https://doi.org/10.3389/fmicb.2019.02649</w:t>
      </w:r>
    </w:p>
    <w:p w14:paraId="0F41BA50" w14:textId="77777777" w:rsidR="009A5D71" w:rsidRPr="00EA556A" w:rsidRDefault="009A5D71" w:rsidP="00026E44">
      <w:pPr>
        <w:pStyle w:val="Bibliografia"/>
        <w:numPr>
          <w:ilvl w:val="0"/>
          <w:numId w:val="1"/>
        </w:numPr>
        <w:spacing w:line="360" w:lineRule="auto"/>
        <w:rPr>
          <w:rFonts w:ascii="Arial" w:hAnsi="Arial" w:cs="Arial"/>
          <w:lang w:val="en-US"/>
        </w:rPr>
      </w:pPr>
      <w:r w:rsidRPr="00EA556A">
        <w:rPr>
          <w:rFonts w:ascii="Arial" w:hAnsi="Arial" w:cs="Arial"/>
          <w:lang w:val="en-US"/>
        </w:rPr>
        <w:t xml:space="preserve">Latka, A., Lemire, S., </w:t>
      </w:r>
      <w:proofErr w:type="spellStart"/>
      <w:r w:rsidRPr="00EA556A">
        <w:rPr>
          <w:rFonts w:ascii="Arial" w:hAnsi="Arial" w:cs="Arial"/>
          <w:lang w:val="en-US"/>
        </w:rPr>
        <w:t>Grimon</w:t>
      </w:r>
      <w:proofErr w:type="spellEnd"/>
      <w:r w:rsidRPr="00EA556A">
        <w:rPr>
          <w:rFonts w:ascii="Arial" w:hAnsi="Arial" w:cs="Arial"/>
          <w:lang w:val="en-US"/>
        </w:rPr>
        <w:t xml:space="preserve">, D., Dams, D., Maciejewska, B., Lu, T., </w:t>
      </w:r>
      <w:proofErr w:type="spellStart"/>
      <w:r w:rsidRPr="00EA556A">
        <w:rPr>
          <w:rFonts w:ascii="Arial" w:hAnsi="Arial" w:cs="Arial"/>
          <w:lang w:val="en-US"/>
        </w:rPr>
        <w:t>Drulis</w:t>
      </w:r>
      <w:proofErr w:type="spellEnd"/>
      <w:r w:rsidRPr="00EA556A">
        <w:rPr>
          <w:rFonts w:ascii="Arial" w:hAnsi="Arial" w:cs="Arial"/>
          <w:lang w:val="en-US"/>
        </w:rPr>
        <w:t xml:space="preserve">-Kawa, Z., &amp; Briers, Y. (2021). Engineering the Modular Receptor-Binding Proteins of Klebsiella Phages Switches Their Capsule Serotype Specificity. </w:t>
      </w:r>
      <w:r w:rsidRPr="00EA556A">
        <w:rPr>
          <w:rFonts w:ascii="Arial" w:hAnsi="Arial" w:cs="Arial"/>
          <w:i/>
          <w:iCs/>
          <w:lang w:val="en-US"/>
        </w:rPr>
        <w:t>mBio</w:t>
      </w:r>
      <w:r w:rsidRPr="00EA556A">
        <w:rPr>
          <w:rFonts w:ascii="Arial" w:hAnsi="Arial" w:cs="Arial"/>
          <w:lang w:val="en-US"/>
        </w:rPr>
        <w:t xml:space="preserve">, </w:t>
      </w:r>
      <w:r w:rsidRPr="00EA556A">
        <w:rPr>
          <w:rFonts w:ascii="Arial" w:hAnsi="Arial" w:cs="Arial"/>
          <w:i/>
          <w:iCs/>
          <w:lang w:val="en-US"/>
        </w:rPr>
        <w:t>12</w:t>
      </w:r>
      <w:r w:rsidRPr="00EA556A">
        <w:rPr>
          <w:rFonts w:ascii="Arial" w:hAnsi="Arial" w:cs="Arial"/>
          <w:lang w:val="en-US"/>
        </w:rPr>
        <w:t>(3), 10.1128/mbio.00455-21. https://doi.org/10.1128/mbio.00455-21</w:t>
      </w:r>
    </w:p>
    <w:p w14:paraId="67954FA6" w14:textId="77777777" w:rsidR="009A5D71" w:rsidRPr="00EA556A" w:rsidRDefault="009A5D71" w:rsidP="00026E44">
      <w:pPr>
        <w:pStyle w:val="Bibliografia"/>
        <w:numPr>
          <w:ilvl w:val="0"/>
          <w:numId w:val="1"/>
        </w:numPr>
        <w:spacing w:line="360" w:lineRule="auto"/>
        <w:rPr>
          <w:rFonts w:ascii="Arial" w:hAnsi="Arial" w:cs="Arial"/>
          <w:lang w:val="en-US"/>
        </w:rPr>
      </w:pPr>
      <w:r w:rsidRPr="00EA556A">
        <w:rPr>
          <w:rFonts w:ascii="Arial" w:hAnsi="Arial" w:cs="Arial"/>
          <w:lang w:val="en-US"/>
        </w:rPr>
        <w:t>Majkowska-</w:t>
      </w:r>
      <w:proofErr w:type="spellStart"/>
      <w:r w:rsidRPr="00EA556A">
        <w:rPr>
          <w:rFonts w:ascii="Arial" w:hAnsi="Arial" w:cs="Arial"/>
          <w:lang w:val="en-US"/>
        </w:rPr>
        <w:t>Skrobek</w:t>
      </w:r>
      <w:proofErr w:type="spellEnd"/>
      <w:r w:rsidRPr="00EA556A">
        <w:rPr>
          <w:rFonts w:ascii="Arial" w:hAnsi="Arial" w:cs="Arial"/>
          <w:lang w:val="en-US"/>
        </w:rPr>
        <w:t xml:space="preserve">, G., Latka, A., </w:t>
      </w:r>
      <w:proofErr w:type="spellStart"/>
      <w:r w:rsidRPr="00EA556A">
        <w:rPr>
          <w:rFonts w:ascii="Arial" w:hAnsi="Arial" w:cs="Arial"/>
          <w:lang w:val="en-US"/>
        </w:rPr>
        <w:t>Berisio</w:t>
      </w:r>
      <w:proofErr w:type="spellEnd"/>
      <w:r w:rsidRPr="00EA556A">
        <w:rPr>
          <w:rFonts w:ascii="Arial" w:hAnsi="Arial" w:cs="Arial"/>
          <w:lang w:val="en-US"/>
        </w:rPr>
        <w:t xml:space="preserve">, R., Squeglia, F., Maciejewska, B., Briers, Y., &amp; </w:t>
      </w:r>
      <w:proofErr w:type="spellStart"/>
      <w:r w:rsidRPr="00EA556A">
        <w:rPr>
          <w:rFonts w:ascii="Arial" w:hAnsi="Arial" w:cs="Arial"/>
          <w:lang w:val="en-US"/>
        </w:rPr>
        <w:t>Drulis</w:t>
      </w:r>
      <w:proofErr w:type="spellEnd"/>
      <w:r w:rsidRPr="00EA556A">
        <w:rPr>
          <w:rFonts w:ascii="Arial" w:hAnsi="Arial" w:cs="Arial"/>
          <w:lang w:val="en-US"/>
        </w:rPr>
        <w:t xml:space="preserve">-Kawa, Z. (2018). Phage-Borne Depolymerases Decrease Klebsiella pneumoniae Resistance to Innate Defense Mechanisms. </w:t>
      </w:r>
      <w:r w:rsidRPr="00EA556A">
        <w:rPr>
          <w:rFonts w:ascii="Arial" w:hAnsi="Arial" w:cs="Arial"/>
          <w:i/>
          <w:iCs/>
          <w:lang w:val="en-US"/>
        </w:rPr>
        <w:t>Frontiers in Microbiology</w:t>
      </w:r>
      <w:r w:rsidRPr="00EA556A">
        <w:rPr>
          <w:rFonts w:ascii="Arial" w:hAnsi="Arial" w:cs="Arial"/>
          <w:lang w:val="en-US"/>
        </w:rPr>
        <w:t xml:space="preserve">, </w:t>
      </w:r>
      <w:r w:rsidRPr="00EA556A">
        <w:rPr>
          <w:rFonts w:ascii="Arial" w:hAnsi="Arial" w:cs="Arial"/>
          <w:i/>
          <w:iCs/>
          <w:lang w:val="en-US"/>
        </w:rPr>
        <w:t>9</w:t>
      </w:r>
      <w:r w:rsidRPr="00EA556A">
        <w:rPr>
          <w:rFonts w:ascii="Arial" w:hAnsi="Arial" w:cs="Arial"/>
          <w:lang w:val="en-US"/>
        </w:rPr>
        <w:t>. https://doi.org/10.3389/fmicb.2018.02517</w:t>
      </w:r>
    </w:p>
    <w:p w14:paraId="1F0FF251" w14:textId="417F3D95" w:rsidR="0015784A" w:rsidRPr="00EA556A" w:rsidRDefault="009A5D71" w:rsidP="00026E44">
      <w:pPr>
        <w:pStyle w:val="Bibliografia"/>
        <w:numPr>
          <w:ilvl w:val="0"/>
          <w:numId w:val="1"/>
        </w:numPr>
        <w:spacing w:line="360" w:lineRule="auto"/>
        <w:rPr>
          <w:rFonts w:ascii="Arial" w:hAnsi="Arial" w:cs="Arial"/>
          <w:lang w:val="en-US"/>
        </w:rPr>
      </w:pPr>
      <w:r w:rsidRPr="00EA556A">
        <w:rPr>
          <w:rFonts w:ascii="Arial" w:hAnsi="Arial" w:cs="Arial"/>
          <w:lang w:val="en-US"/>
        </w:rPr>
        <w:t xml:space="preserve">Nobrega, F. L., </w:t>
      </w:r>
      <w:proofErr w:type="spellStart"/>
      <w:r w:rsidRPr="00EA556A">
        <w:rPr>
          <w:rFonts w:ascii="Arial" w:hAnsi="Arial" w:cs="Arial"/>
          <w:lang w:val="en-US"/>
        </w:rPr>
        <w:t>Vlot</w:t>
      </w:r>
      <w:proofErr w:type="spellEnd"/>
      <w:r w:rsidRPr="00EA556A">
        <w:rPr>
          <w:rFonts w:ascii="Arial" w:hAnsi="Arial" w:cs="Arial"/>
          <w:lang w:val="en-US"/>
        </w:rPr>
        <w:t xml:space="preserve">, M., De Jonge, P. A., Dreesens, L. L., Beaumont, H. J. E., Lavigne, R., Dutilh, B. E., &amp; </w:t>
      </w:r>
      <w:proofErr w:type="spellStart"/>
      <w:r w:rsidRPr="00EA556A">
        <w:rPr>
          <w:rFonts w:ascii="Arial" w:hAnsi="Arial" w:cs="Arial"/>
          <w:lang w:val="en-US"/>
        </w:rPr>
        <w:t>Brouns</w:t>
      </w:r>
      <w:proofErr w:type="spellEnd"/>
      <w:r w:rsidRPr="00EA556A">
        <w:rPr>
          <w:rFonts w:ascii="Arial" w:hAnsi="Arial" w:cs="Arial"/>
          <w:lang w:val="en-US"/>
        </w:rPr>
        <w:t xml:space="preserve">, S. J. J. (2018). Targeting mechanisms of tailed bacteriophages. </w:t>
      </w:r>
      <w:r w:rsidRPr="00EA556A">
        <w:rPr>
          <w:rFonts w:ascii="Arial" w:hAnsi="Arial" w:cs="Arial"/>
          <w:i/>
          <w:iCs/>
          <w:lang w:val="en-US"/>
        </w:rPr>
        <w:t>Nature Reviews Microbiology</w:t>
      </w:r>
      <w:r w:rsidRPr="00EA556A">
        <w:rPr>
          <w:rFonts w:ascii="Arial" w:hAnsi="Arial" w:cs="Arial"/>
          <w:lang w:val="en-US"/>
        </w:rPr>
        <w:t xml:space="preserve">, </w:t>
      </w:r>
      <w:r w:rsidRPr="00EA556A">
        <w:rPr>
          <w:rFonts w:ascii="Arial" w:hAnsi="Arial" w:cs="Arial"/>
          <w:i/>
          <w:iCs/>
          <w:lang w:val="en-US"/>
        </w:rPr>
        <w:t>16</w:t>
      </w:r>
      <w:r w:rsidRPr="00EA556A">
        <w:rPr>
          <w:rFonts w:ascii="Arial" w:hAnsi="Arial" w:cs="Arial"/>
          <w:lang w:val="en-US"/>
        </w:rPr>
        <w:t xml:space="preserve">(12), 760–773. </w:t>
      </w:r>
      <w:hyperlink r:id="rId9" w:history="1">
        <w:r w:rsidR="0015784A" w:rsidRPr="00EA556A">
          <w:rPr>
            <w:rStyle w:val="Hiperligao"/>
            <w:rFonts w:ascii="Arial" w:hAnsi="Arial" w:cs="Arial"/>
            <w:lang w:val="en-US"/>
          </w:rPr>
          <w:t>https://doi.org/10.1038/s41579-018-0070-8</w:t>
        </w:r>
      </w:hyperlink>
    </w:p>
    <w:p w14:paraId="656A8D6B" w14:textId="77777777" w:rsidR="0015784A" w:rsidRPr="00EA556A" w:rsidRDefault="0015784A" w:rsidP="00026E44">
      <w:pPr>
        <w:pStyle w:val="PargrafodaLista"/>
        <w:numPr>
          <w:ilvl w:val="0"/>
          <w:numId w:val="1"/>
        </w:numPr>
        <w:spacing w:line="360" w:lineRule="auto"/>
        <w:rPr>
          <w:rFonts w:ascii="Arial" w:hAnsi="Arial" w:cs="Arial"/>
          <w:lang w:val="en-US"/>
        </w:rPr>
      </w:pPr>
      <w:r w:rsidRPr="00EA556A">
        <w:rPr>
          <w:rFonts w:ascii="Arial" w:hAnsi="Arial" w:cs="Arial"/>
          <w:lang w:val="en-US"/>
        </w:rPr>
        <w:t xml:space="preserve">Pyra, A., Urbańska, N., </w:t>
      </w:r>
      <w:proofErr w:type="spellStart"/>
      <w:r w:rsidRPr="00EA556A">
        <w:rPr>
          <w:rFonts w:ascii="Arial" w:hAnsi="Arial" w:cs="Arial"/>
          <w:lang w:val="en-US"/>
        </w:rPr>
        <w:t>Filik</w:t>
      </w:r>
      <w:proofErr w:type="spellEnd"/>
      <w:r w:rsidRPr="00EA556A">
        <w:rPr>
          <w:rFonts w:ascii="Arial" w:hAnsi="Arial" w:cs="Arial"/>
          <w:lang w:val="en-US"/>
        </w:rPr>
        <w:t xml:space="preserve">, K., </w:t>
      </w:r>
      <w:proofErr w:type="spellStart"/>
      <w:r w:rsidRPr="00EA556A">
        <w:rPr>
          <w:rFonts w:ascii="Arial" w:hAnsi="Arial" w:cs="Arial"/>
          <w:lang w:val="en-US"/>
        </w:rPr>
        <w:t>Tyrlik</w:t>
      </w:r>
      <w:proofErr w:type="spellEnd"/>
      <w:r w:rsidRPr="00EA556A">
        <w:rPr>
          <w:rFonts w:ascii="Arial" w:hAnsi="Arial" w:cs="Arial"/>
          <w:lang w:val="en-US"/>
        </w:rPr>
        <w:t xml:space="preserve">, K., &amp; Brzozowska, E. (2020). Biochemical features of the novel Tail Tubular Protein A of Yersinia phage phiYeO3-12. </w:t>
      </w:r>
      <w:r w:rsidRPr="00EA556A">
        <w:rPr>
          <w:rFonts w:ascii="Arial" w:hAnsi="Arial" w:cs="Arial"/>
          <w:i/>
          <w:iCs/>
          <w:lang w:val="en-US"/>
        </w:rPr>
        <w:t>Scientific Reports</w:t>
      </w:r>
      <w:r w:rsidRPr="00EA556A">
        <w:rPr>
          <w:rFonts w:ascii="Arial" w:hAnsi="Arial" w:cs="Arial"/>
          <w:lang w:val="en-US"/>
        </w:rPr>
        <w:t xml:space="preserve">, </w:t>
      </w:r>
      <w:r w:rsidRPr="00EA556A">
        <w:rPr>
          <w:rFonts w:ascii="Arial" w:hAnsi="Arial" w:cs="Arial"/>
          <w:i/>
          <w:iCs/>
          <w:lang w:val="en-US"/>
        </w:rPr>
        <w:t>10</w:t>
      </w:r>
      <w:r w:rsidRPr="00EA556A">
        <w:rPr>
          <w:rFonts w:ascii="Arial" w:hAnsi="Arial" w:cs="Arial"/>
          <w:lang w:val="en-US"/>
        </w:rPr>
        <w:t xml:space="preserve">(1), 4196. </w:t>
      </w:r>
      <w:hyperlink r:id="rId10" w:history="1">
        <w:r w:rsidRPr="00EA556A">
          <w:rPr>
            <w:rStyle w:val="Hiperligao"/>
            <w:rFonts w:ascii="Arial" w:hAnsi="Arial" w:cs="Arial"/>
            <w:lang w:val="en-US"/>
          </w:rPr>
          <w:t>https://doi.org/10.1038/s41598-020-61145-5</w:t>
        </w:r>
      </w:hyperlink>
    </w:p>
    <w:p w14:paraId="2005EB5C" w14:textId="77777777" w:rsidR="00C95A8F" w:rsidRDefault="007D0B40" w:rsidP="00C95A8F">
      <w:pPr>
        <w:pStyle w:val="PargrafodaLista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EA556A">
        <w:rPr>
          <w:rFonts w:ascii="Arial" w:hAnsi="Arial" w:cs="Arial"/>
          <w:lang w:val="en-US"/>
        </w:rPr>
        <w:t xml:space="preserve">Squeglia, F., Maciejewska, B., Łątka, A., Ruggiero, A., Briers, Y., Drulis-Kawa, Z., &amp; Berisio, R. (2020). Structural and Functional Studies of a Klebsiella Phage Capsule Depolymerase Tailspike: Mechanistic Insights into Capsular Degradation. </w:t>
      </w:r>
      <w:r w:rsidRPr="00EA556A">
        <w:rPr>
          <w:rFonts w:ascii="Arial" w:hAnsi="Arial" w:cs="Arial"/>
          <w:i/>
          <w:iCs/>
        </w:rPr>
        <w:t>Structure</w:t>
      </w:r>
      <w:r w:rsidRPr="00EA556A">
        <w:rPr>
          <w:rFonts w:ascii="Arial" w:hAnsi="Arial" w:cs="Arial"/>
        </w:rPr>
        <w:t xml:space="preserve">, </w:t>
      </w:r>
      <w:r w:rsidRPr="00EA556A">
        <w:rPr>
          <w:rFonts w:ascii="Arial" w:hAnsi="Arial" w:cs="Arial"/>
          <w:i/>
          <w:iCs/>
        </w:rPr>
        <w:t>28</w:t>
      </w:r>
      <w:r w:rsidRPr="00EA556A">
        <w:rPr>
          <w:rFonts w:ascii="Arial" w:hAnsi="Arial" w:cs="Arial"/>
        </w:rPr>
        <w:t xml:space="preserve">(6), 613-624.e4. </w:t>
      </w:r>
      <w:hyperlink r:id="rId11" w:history="1">
        <w:r w:rsidR="00C95A8F" w:rsidRPr="00F10EC9">
          <w:rPr>
            <w:rStyle w:val="Hiperligao"/>
            <w:rFonts w:ascii="Arial" w:hAnsi="Arial" w:cs="Arial"/>
          </w:rPr>
          <w:t>https://doi.org/10.1016/j.str.2020.04.015</w:t>
        </w:r>
      </w:hyperlink>
    </w:p>
    <w:p w14:paraId="774FEF1A" w14:textId="2171A64F" w:rsidR="00C95A8F" w:rsidRPr="00C95A8F" w:rsidRDefault="00C95A8F" w:rsidP="00C95A8F">
      <w:pPr>
        <w:pStyle w:val="PargrafodaLista"/>
        <w:numPr>
          <w:ilvl w:val="0"/>
          <w:numId w:val="1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fldChar w:fldCharType="begin"/>
      </w:r>
      <w:r w:rsidRPr="00C95A8F">
        <w:rPr>
          <w:rFonts w:ascii="Arial" w:hAnsi="Arial" w:cs="Arial"/>
          <w:b/>
          <w:bCs/>
          <w:lang w:val="en-US"/>
        </w:rPr>
        <w:instrText xml:space="preserve"> ADDIN ZOTERO_BIBL {"uncited":[],"omitted":[],"custom":[]} CSL_BIBLIOGRAPHY </w:instrText>
      </w:r>
      <w:r>
        <w:rPr>
          <w:rFonts w:ascii="Arial" w:hAnsi="Arial" w:cs="Arial"/>
          <w:b/>
          <w:bCs/>
        </w:rPr>
        <w:fldChar w:fldCharType="separate"/>
      </w:r>
      <w:r w:rsidRPr="00C95A8F">
        <w:rPr>
          <w:rFonts w:ascii="Arial" w:hAnsi="Arial" w:cs="Arial"/>
          <w:lang w:val="en-US"/>
        </w:rPr>
        <w:t xml:space="preserve">Walmagh, M., Boczkowska, B., Grymonprez, B., Briers, Y., Drulis-Kawa, Z., &amp; Lavigne, R. (2013). Characterization of five novel endolysins from Gram-negative infecting bacteriophages. </w:t>
      </w:r>
      <w:r w:rsidRPr="00C95A8F">
        <w:rPr>
          <w:rFonts w:ascii="Arial" w:hAnsi="Arial" w:cs="Arial"/>
          <w:i/>
          <w:iCs/>
        </w:rPr>
        <w:t>Applied Microbiology and Biotechnology</w:t>
      </w:r>
      <w:r w:rsidRPr="00C95A8F">
        <w:rPr>
          <w:rFonts w:ascii="Arial" w:hAnsi="Arial" w:cs="Arial"/>
        </w:rPr>
        <w:t xml:space="preserve">, </w:t>
      </w:r>
      <w:r w:rsidRPr="00C95A8F">
        <w:rPr>
          <w:rFonts w:ascii="Arial" w:hAnsi="Arial" w:cs="Arial"/>
          <w:i/>
          <w:iCs/>
        </w:rPr>
        <w:t>97</w:t>
      </w:r>
      <w:r w:rsidRPr="00C95A8F">
        <w:rPr>
          <w:rFonts w:ascii="Arial" w:hAnsi="Arial" w:cs="Arial"/>
        </w:rPr>
        <w:t>(10), 4369–4375. https://doi.org/10.1007/s00253-012-4294-7</w:t>
      </w:r>
    </w:p>
    <w:p w14:paraId="4DCCA4D3" w14:textId="5094B666" w:rsidR="00C95A8F" w:rsidRPr="00EA556A" w:rsidRDefault="00C95A8F" w:rsidP="00C95A8F">
      <w:r>
        <w:fldChar w:fldCharType="end"/>
      </w:r>
    </w:p>
    <w:p w14:paraId="3CD12DF0" w14:textId="2E3E3637" w:rsidR="00B500AE" w:rsidRPr="00EA556A" w:rsidRDefault="00B500AE" w:rsidP="00026E44">
      <w:pPr>
        <w:spacing w:line="360" w:lineRule="auto"/>
        <w:rPr>
          <w:rFonts w:ascii="Arial" w:hAnsi="Arial" w:cs="Arial"/>
        </w:rPr>
      </w:pPr>
    </w:p>
    <w:sectPr w:rsidR="00B500AE" w:rsidRPr="00EA55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ewsGotT">
    <w:altName w:val="News Got T"/>
    <w:panose1 w:val="00000000000000000000"/>
    <w:charset w:val="00"/>
    <w:family w:val="auto"/>
    <w:pitch w:val="variable"/>
    <w:sig w:usb0="800000AF" w:usb1="0000204A" w:usb2="00000000" w:usb3="00000000" w:csb0="000000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70705"/>
    <w:multiLevelType w:val="hybridMultilevel"/>
    <w:tmpl w:val="77F09E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21288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24F"/>
    <w:rsid w:val="00026E44"/>
    <w:rsid w:val="0005676C"/>
    <w:rsid w:val="000951A5"/>
    <w:rsid w:val="000B0221"/>
    <w:rsid w:val="000B1372"/>
    <w:rsid w:val="000B206E"/>
    <w:rsid w:val="000D01CA"/>
    <w:rsid w:val="000D4A55"/>
    <w:rsid w:val="00116D1E"/>
    <w:rsid w:val="00145AE6"/>
    <w:rsid w:val="0015784A"/>
    <w:rsid w:val="001658C3"/>
    <w:rsid w:val="0017528F"/>
    <w:rsid w:val="00181571"/>
    <w:rsid w:val="001B175E"/>
    <w:rsid w:val="001E78AD"/>
    <w:rsid w:val="00225530"/>
    <w:rsid w:val="00226392"/>
    <w:rsid w:val="002857A2"/>
    <w:rsid w:val="002B498F"/>
    <w:rsid w:val="002D464B"/>
    <w:rsid w:val="002D7A30"/>
    <w:rsid w:val="002E71BB"/>
    <w:rsid w:val="002F5C4F"/>
    <w:rsid w:val="00302506"/>
    <w:rsid w:val="00304F08"/>
    <w:rsid w:val="0034137C"/>
    <w:rsid w:val="003646EA"/>
    <w:rsid w:val="00380D8D"/>
    <w:rsid w:val="0039027F"/>
    <w:rsid w:val="0039410E"/>
    <w:rsid w:val="003C1EA6"/>
    <w:rsid w:val="003E247B"/>
    <w:rsid w:val="003F62D2"/>
    <w:rsid w:val="00410FFE"/>
    <w:rsid w:val="004251CB"/>
    <w:rsid w:val="00425301"/>
    <w:rsid w:val="004672D9"/>
    <w:rsid w:val="00492248"/>
    <w:rsid w:val="004A6D8D"/>
    <w:rsid w:val="004D5FDC"/>
    <w:rsid w:val="004D7B44"/>
    <w:rsid w:val="005217D7"/>
    <w:rsid w:val="005953E1"/>
    <w:rsid w:val="005A0041"/>
    <w:rsid w:val="005A1A41"/>
    <w:rsid w:val="005C5468"/>
    <w:rsid w:val="00606141"/>
    <w:rsid w:val="006102E7"/>
    <w:rsid w:val="00697AFF"/>
    <w:rsid w:val="006C36F1"/>
    <w:rsid w:val="007B3F57"/>
    <w:rsid w:val="007D0B40"/>
    <w:rsid w:val="00812F70"/>
    <w:rsid w:val="008235DE"/>
    <w:rsid w:val="00902FC8"/>
    <w:rsid w:val="009100AC"/>
    <w:rsid w:val="00962E6C"/>
    <w:rsid w:val="00984A36"/>
    <w:rsid w:val="009A44EF"/>
    <w:rsid w:val="009A5D71"/>
    <w:rsid w:val="009C5B72"/>
    <w:rsid w:val="009E1D03"/>
    <w:rsid w:val="00A30259"/>
    <w:rsid w:val="00A47275"/>
    <w:rsid w:val="00AA2AF7"/>
    <w:rsid w:val="00AB27C5"/>
    <w:rsid w:val="00AE2CC7"/>
    <w:rsid w:val="00AE64B9"/>
    <w:rsid w:val="00AF3C71"/>
    <w:rsid w:val="00B500AE"/>
    <w:rsid w:val="00B70E63"/>
    <w:rsid w:val="00BB3477"/>
    <w:rsid w:val="00BC3F66"/>
    <w:rsid w:val="00BE517F"/>
    <w:rsid w:val="00C4524F"/>
    <w:rsid w:val="00C52183"/>
    <w:rsid w:val="00C67A18"/>
    <w:rsid w:val="00C95A8F"/>
    <w:rsid w:val="00CE0B5D"/>
    <w:rsid w:val="00D67267"/>
    <w:rsid w:val="00D728C7"/>
    <w:rsid w:val="00DF381D"/>
    <w:rsid w:val="00E06D0F"/>
    <w:rsid w:val="00E9246E"/>
    <w:rsid w:val="00EA556A"/>
    <w:rsid w:val="00ED31B4"/>
    <w:rsid w:val="00EF73E4"/>
    <w:rsid w:val="00F357B0"/>
    <w:rsid w:val="00F35F5A"/>
    <w:rsid w:val="00FB0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61CE1"/>
  <w15:chartTrackingRefBased/>
  <w15:docId w15:val="{422C3F31-2016-4A9A-8F67-122C09F23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paragraph" w:styleId="Ttulo1">
    <w:name w:val="heading 1"/>
    <w:basedOn w:val="Normal"/>
    <w:next w:val="Normal"/>
    <w:link w:val="Ttulo1Carter"/>
    <w:uiPriority w:val="9"/>
    <w:qFormat/>
    <w:rsid w:val="00C45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C45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C452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C452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C452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C452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C452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C452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C452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iperligao">
    <w:name w:val="Hyperlink"/>
    <w:basedOn w:val="Tipodeletrapredefinidodopargrafo"/>
    <w:uiPriority w:val="99"/>
    <w:unhideWhenUsed/>
    <w:qFormat/>
    <w:rsid w:val="00380D8D"/>
    <w:rPr>
      <w:rFonts w:ascii="NewsGotT" w:hAnsi="NewsGotT"/>
      <w:b w:val="0"/>
      <w:color w:val="000000" w:themeColor="text1"/>
      <w:sz w:val="24"/>
      <w:u w:val="none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C4524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PT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C4524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PT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C4524F"/>
    <w:rPr>
      <w:rFonts w:eastAsiaTheme="majorEastAsia" w:cstheme="majorBidi"/>
      <w:color w:val="0F4761" w:themeColor="accent1" w:themeShade="BF"/>
      <w:sz w:val="28"/>
      <w:szCs w:val="28"/>
      <w:lang w:val="pt-PT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C4524F"/>
    <w:rPr>
      <w:rFonts w:eastAsiaTheme="majorEastAsia" w:cstheme="majorBidi"/>
      <w:i/>
      <w:iCs/>
      <w:color w:val="0F4761" w:themeColor="accent1" w:themeShade="BF"/>
      <w:lang w:val="pt-PT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C4524F"/>
    <w:rPr>
      <w:rFonts w:eastAsiaTheme="majorEastAsia" w:cstheme="majorBidi"/>
      <w:color w:val="0F4761" w:themeColor="accent1" w:themeShade="BF"/>
      <w:lang w:val="pt-PT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C4524F"/>
    <w:rPr>
      <w:rFonts w:eastAsiaTheme="majorEastAsia" w:cstheme="majorBidi"/>
      <w:i/>
      <w:iCs/>
      <w:color w:val="595959" w:themeColor="text1" w:themeTint="A6"/>
      <w:lang w:val="pt-PT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C4524F"/>
    <w:rPr>
      <w:rFonts w:eastAsiaTheme="majorEastAsia" w:cstheme="majorBidi"/>
      <w:color w:val="595959" w:themeColor="text1" w:themeTint="A6"/>
      <w:lang w:val="pt-PT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4524F"/>
    <w:rPr>
      <w:rFonts w:eastAsiaTheme="majorEastAsia" w:cstheme="majorBidi"/>
      <w:i/>
      <w:iCs/>
      <w:color w:val="272727" w:themeColor="text1" w:themeTint="D8"/>
      <w:lang w:val="pt-PT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4524F"/>
    <w:rPr>
      <w:rFonts w:eastAsiaTheme="majorEastAsia" w:cstheme="majorBidi"/>
      <w:color w:val="272727" w:themeColor="text1" w:themeTint="D8"/>
      <w:lang w:val="pt-PT"/>
    </w:rPr>
  </w:style>
  <w:style w:type="paragraph" w:styleId="Ttulo">
    <w:name w:val="Title"/>
    <w:basedOn w:val="Normal"/>
    <w:next w:val="Normal"/>
    <w:link w:val="TtuloCarter"/>
    <w:uiPriority w:val="10"/>
    <w:qFormat/>
    <w:rsid w:val="00C45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4524F"/>
    <w:rPr>
      <w:rFonts w:asciiTheme="majorHAnsi" w:eastAsiaTheme="majorEastAsia" w:hAnsiTheme="majorHAnsi" w:cstheme="majorBidi"/>
      <w:spacing w:val="-10"/>
      <w:kern w:val="28"/>
      <w:sz w:val="56"/>
      <w:szCs w:val="56"/>
      <w:lang w:val="pt-PT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C452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C4524F"/>
    <w:rPr>
      <w:rFonts w:eastAsiaTheme="majorEastAsia" w:cstheme="majorBidi"/>
      <w:color w:val="595959" w:themeColor="text1" w:themeTint="A6"/>
      <w:spacing w:val="15"/>
      <w:sz w:val="28"/>
      <w:szCs w:val="28"/>
      <w:lang w:val="pt-PT"/>
    </w:rPr>
  </w:style>
  <w:style w:type="paragraph" w:styleId="Citao">
    <w:name w:val="Quote"/>
    <w:basedOn w:val="Normal"/>
    <w:next w:val="Normal"/>
    <w:link w:val="CitaoCarter"/>
    <w:uiPriority w:val="29"/>
    <w:qFormat/>
    <w:rsid w:val="00C45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C4524F"/>
    <w:rPr>
      <w:i/>
      <w:iCs/>
      <w:color w:val="404040" w:themeColor="text1" w:themeTint="BF"/>
      <w:lang w:val="pt-PT"/>
    </w:rPr>
  </w:style>
  <w:style w:type="paragraph" w:styleId="PargrafodaLista">
    <w:name w:val="List Paragraph"/>
    <w:basedOn w:val="Normal"/>
    <w:uiPriority w:val="34"/>
    <w:qFormat/>
    <w:rsid w:val="00C4524F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C4524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C452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C4524F"/>
    <w:rPr>
      <w:i/>
      <w:iCs/>
      <w:color w:val="0F4761" w:themeColor="accent1" w:themeShade="BF"/>
      <w:lang w:val="pt-PT"/>
    </w:rPr>
  </w:style>
  <w:style w:type="character" w:styleId="RefernciaIntensa">
    <w:name w:val="Intense Reference"/>
    <w:basedOn w:val="Tipodeletrapredefinidodopargrafo"/>
    <w:uiPriority w:val="32"/>
    <w:qFormat/>
    <w:rsid w:val="00C4524F"/>
    <w:rPr>
      <w:b/>
      <w:bCs/>
      <w:smallCaps/>
      <w:color w:val="0F4761" w:themeColor="accent1" w:themeShade="BF"/>
      <w:spacing w:val="5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1B175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E64B9"/>
    <w:rPr>
      <w:rFonts w:ascii="Times New Roman" w:hAnsi="Times New Roman" w:cs="Times New Roman"/>
    </w:rPr>
  </w:style>
  <w:style w:type="paragraph" w:styleId="Bibliografia">
    <w:name w:val="Bibliography"/>
    <w:basedOn w:val="Normal"/>
    <w:next w:val="Normal"/>
    <w:uiPriority w:val="37"/>
    <w:unhideWhenUsed/>
    <w:rsid w:val="00B500AE"/>
    <w:pPr>
      <w:spacing w:after="0" w:line="480" w:lineRule="auto"/>
      <w:ind w:left="720" w:hanging="720"/>
    </w:pPr>
  </w:style>
  <w:style w:type="paragraph" w:styleId="Legenda">
    <w:name w:val="caption"/>
    <w:basedOn w:val="Normal"/>
    <w:next w:val="Normal"/>
    <w:uiPriority w:val="35"/>
    <w:unhideWhenUsed/>
    <w:qFormat/>
    <w:rsid w:val="00225530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16/j.mib.2022.102240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i.org/10.1016/0003-2697(91)90083-6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1" Type="http://schemas.openxmlformats.org/officeDocument/2006/relationships/hyperlink" Target="https://doi.org/10.1016/j.str.2020.04.015" TargetMode="External"/><Relationship Id="rId5" Type="http://schemas.openxmlformats.org/officeDocument/2006/relationships/image" Target="media/image1.gif"/><Relationship Id="rId10" Type="http://schemas.openxmlformats.org/officeDocument/2006/relationships/hyperlink" Target="https://doi.org/10.1038/s41598-020-61145-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38/s41579-018-0070-8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1894</Words>
  <Characters>10802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FIlipe Kuhlmann</dc:creator>
  <cp:keywords/>
  <dc:description/>
  <cp:lastModifiedBy>FIlipe Kuhlmann</cp:lastModifiedBy>
  <cp:revision>3</cp:revision>
  <dcterms:created xsi:type="dcterms:W3CDTF">2025-12-22T22:18:00Z</dcterms:created>
  <dcterms:modified xsi:type="dcterms:W3CDTF">2025-12-22T22:22:00Z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zotero-version="7.0.30"&gt;&lt;session id="OPg5km8P"/&gt;&lt;style id="http://www.zotero.org/styles/apa" locale="pt-PT" hasBibliography="1" bibliographyStyleHasBeenSet="1"/&gt;&lt;prefs&gt;&lt;pref name="fieldType" value="Field"/&gt;&lt;pref name="automaticJourn</vt:lpwstr>
  </property>
  <property fmtid="{D5CDD505-2E9C-101B-9397-08002B2CF9AE}" pid="3" name="ZOTERO_PREF_2">
    <vt:lpwstr>alAbbreviations" value="true"/&gt;&lt;/prefs&gt;&lt;/data&gt;</vt:lpwstr>
  </property>
</Properties>
</file>