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0"/>
      </w:pPr>
      <w:r>
        <w:rPr>
          <w:rFonts w:ascii="Courier New" w:cs="Courier New" w:eastAsia="Courier New" w:hAnsi="Courier New"/>
          <w:b/>
          <w:bCs/>
          <w:color w:val="C41E3A"/>
          <w:spacing w:val="120"/>
          <w:sz w:val="16"/>
          <w:szCs w:val="16"/>
        </w:rPr>
        <w:t xml:space="preserve">CASE STUDY COMPANION DOCUMENT</w:t>
      </w:r>
    </w:p>
    <w:p>
      <w:pPr>
        <w:spacing w:after="80"/>
      </w:pPr>
      <w:r>
        <w:rPr>
          <w:rFonts w:ascii="Courier New" w:cs="Courier New" w:eastAsia="Courier New" w:hAnsi="Courier New"/>
          <w:color w:val="00685E"/>
          <w:spacing w:val="80"/>
          <w:sz w:val="14"/>
          <w:szCs w:val="14"/>
        </w:rPr>
        <w:t xml:space="preserve">STRATEGIC OPERATIONS  //  UNIFIED VISIBILITY</w:t>
      </w:r>
    </w:p>
    <w:p>
      <w:pPr>
        <w:pBdr>
          <w:bottom w:val="single" w:color="2D1B14" w:sz="6" w:space="12"/>
        </w:pBdr>
        <w:spacing w:after="200"/>
      </w:pPr>
    </w:p>
    <w:p>
      <w:pPr>
        <w:spacing w:after="100" w:before="200"/>
      </w:pPr>
      <w:r>
        <w:rPr>
          <w:rFonts w:ascii="Georgia" w:cs="Georgia" w:eastAsia="Georgia" w:hAnsi="Georgia"/>
          <w:b/>
          <w:bCs/>
          <w:color w:val="121A28"/>
          <w:sz w:val="64"/>
          <w:szCs w:val="64"/>
        </w:rPr>
        <w:t xml:space="preserve">MARKETING
INFRASTRUCTURE</w:t>
      </w:r>
    </w:p>
    <w:p>
      <w:pPr>
        <w:spacing w:after="100"/>
      </w:pPr>
      <w:r>
        <w:rPr>
          <w:rFonts w:ascii="Georgia" w:cs="Georgia" w:eastAsia="Georgia" w:hAnsi="Georgia"/>
          <w:b/>
          <w:bCs/>
          <w:color w:val="121A28"/>
          <w:sz w:val="52"/>
          <w:szCs w:val="52"/>
        </w:rPr>
        <w:t xml:space="preserve">MBR DEBT </w:t>
      </w:r>
      <w:r>
        <w:rPr>
          <w:rFonts w:ascii="Georgia" w:cs="Georgia" w:eastAsia="Georgia" w:hAnsi="Georgia"/>
          <w:b/>
          <w:bCs/>
          <w:color w:val="C41E3A"/>
          <w:sz w:val="52"/>
          <w:szCs w:val="52"/>
        </w:rPr>
        <w:t xml:space="preserve">CLEARANCE</w:t>
      </w:r>
    </w:p>
    <w:p>
      <w:pPr>
        <w:spacing w:after="300"/>
      </w:pPr>
      <w:r>
        <w:rPr>
          <w:rFonts w:ascii="Arial" w:cs="Arial" w:eastAsia="Arial" w:hAnsi="Arial"/>
          <w:color w:val="555555"/>
          <w:sz w:val="22"/>
          <w:szCs w:val="22"/>
        </w:rPr>
        <w:t>Multiple omni-channel marketing functions. More than ten data platforms. Zero unified view. A monthly reporting cycle that consumed significant collective team capacity just to aggregate numbers that already existed in dashboards no one had connected.</w:t>
      </w:r>
    </w:p>
    <w:p>
      <w:pPr>
        <w:spacing w:after="60"/>
      </w:pPr>
      <w:r>
        <w:rPr>
          <w:rFonts w:ascii="Georgia" w:cs="Georgia" w:eastAsia="Georgia" w:hAnsi="Georgia"/>
          <w:b/>
          <w:bCs/>
          <w:color w:val="121A28"/>
          <w:sz w:val="24"/>
          <w:szCs w:val="24"/>
        </w:rPr>
        <w:t xml:space="preserve">Angie Bailey</w:t>
      </w:r>
    </w:p>
    <w:p>
      <w:pPr>
        <w:spacing w:after="0"/>
      </w:pPr>
      <w:r>
        <w:rPr>
          <w:rFonts w:ascii="Courier New" w:cs="Courier New" w:eastAsia="Courier New" w:hAnsi="Courier New"/>
          <w:color w:val="00685E"/>
          <w:sz w:val="16"/>
          <w:szCs w:val="16"/>
        </w:rPr>
        <w:t xml:space="preserve">angieqbailey.com</w:t>
      </w:r>
    </w:p>
    <w:p>
      <w:r>
        <w:br w:type="page"/>
      </w:r>
    </w:p>
    <w:p>
      <w:pPr>
        <w:pStyle w:val="Heading1"/>
      </w:pPr>
      <w:r>
        <w:t xml:space="preserve">The Situation</w:t>
      </w:r>
    </w:p>
    <w:p>
      <w:pPr>
        <w:pStyle w:val="Heading2"/>
      </w:pPr>
      <w:r>
        <w:t>No Operating System. Just Too Many Calendars.</w:t>
      </w:r>
    </w:p>
    <w:p>
      <w:pPr>
        <w:spacing w:after="200"/>
      </w:pPr>
      <w:r>
        <w:t>A rapidly scaling technology company’s omni-channel marketing team had no unified reporting infrastructure. Multiple distinct business functions… web operations, online platform, e-commerce DTC, marketplace channels, SEO, paid search, affiliates, organic social, email, SMS, digital asset management, promotional merchandise and regional programs… each reported in their own format, on their own timeline, from their own systems.</w:t>
      </w:r>
    </w:p>
    <w:p>
      <w:pPr>
        <w:spacing w:after="200"/>
      </w:pPr>
      <w:r>
        <w:t>Data lived across more than ten platforms: analytics dashboards, spreadsheets, commerce admin, web analytics, search tools, email/SMS platforms, affiliate tracking, reputation management, call tracking and various internal spreadsheets. No single view existed of how these functions connected. No shared definitions. No standardized metrics cadence.</w:t>
      </w:r>
    </w:p>
    <w:p>
      <w:pPr>
        <w:spacing w:after="200"/>
      </w:pPr>
      <w:r>
        <w:t>The monthly business review was a manual aggregation exercise. Section owners were chased each month to pull numbers from dashboards and spreadsheets that already existed but weren’t consolidated. The MBR document was more tables than text… a collaborative doc doing the job of a dashboard. The majority of the MBR owner’s time was spent on administrative herding, not analysis or strategic insight.</w:t>
      </w:r>
      <w:r>
        <w:rPr>
          <w:b/>
          <w:bCs/>
        </w:rPr>
      </w:r>
      <w:r/>
    </w:p>
    <w:p>
      <w:pPr>
        <w:spacing w:after="200"/>
      </w:pPr>
      <w:r>
        <w:t>One critical commerce platform was particularly opaque. A handful of people could extract real-time inventory and financial data from the backend. Anyone who needed those numbers submitted a request and waited. That interrupt-and-wait cycle created a bottleneck that affected every team with a stake in parts commerce.</w:t>
      </w:r>
    </w:p>
    <w:p>
      <w:pPr>
        <w:spacing w:after="200"/>
      </w:pPr>
      <w:r>
        <w:t>Section owners were in sprint-grind mode. Exhausted executors asked to suddenly become analytical reporters. The monthly cycle consumed an estimated significant collective team capacity across data gathering, entry, summary writing, definition creation and coordination overhead.</w:t>
      </w:r>
      <w:r>
        <w:rPr>
          <w:b/>
          <w:bCs/>
        </w:rPr>
      </w:r>
      <w:r/>
    </w:p>
    <w:p>
      <w:pPr>
        <w:spacing w:after="200"/>
      </w:pPr>
      <w:r>
        <w:t>The company sat on a significant data asset with terrible data hygiene. Nobody was going to trust AI outputs built on unreliable, manually aggregated, once-a-month data. The prerequisite for broader AI adoption was a visible proof-of-concept that clean, consolidated, continuously updated data could actually work.</w:t>
      </w:r>
    </w:p>
    <w:p>
      <w:pPr>
        <w:pStyle w:val="Heading1"/>
      </w:pPr>
      <w:r>
        <w:t xml:space="preserve">Diagnostic Findings</w:t>
      </w:r>
    </w:p>
    <w:p>
      <w:pPr>
        <w:pStyle w:val="Heading2"/>
      </w:pPr>
      <w:r>
        <w:t xml:space="preserve">What the Pressure Test Revealed</w:t>
      </w:r>
    </w:p>
    <w:p>
      <w:pPr>
        <w:spacing w:after="200"/>
      </w:pPr>
      <w:r>
        <w:t xml:space="preserve">Six structural constraints surfaced before the build began. Three were infrastructure failures. Three were capacity and readiness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4D0C8" w:sz="1"/>
              <w:left w:val="single" w:color="D4D0C8" w:sz="1"/>
              <w:bottom w:val="single" w:color="D4D0C8" w:sz="1"/>
              <w:right w:val="single" w:color="D4D0C8" w:sz="1"/>
            </w:tcBorders>
            <w:shd w:fill="121A28" w:val="clear"/>
            <w:tcMar>
              <w:top w:type="dxa" w:w="80"/>
              <w:left w:type="dxa" w:w="120"/>
              <w:bottom w:type="dxa" w:w="80"/>
              <w:right w:type="dxa" w:w="120"/>
            </w:tcMar>
          </w:tcPr>
          <w:p>
            <w:r>
              <w:rPr>
                <w:rFonts w:ascii="Courier New" w:cs="Courier New" w:eastAsia="Courier New" w:hAnsi="Courier New"/>
                <w:b/>
                <w:bCs/>
                <w:color w:val="F5F5DC"/>
                <w:sz w:val="14"/>
                <w:szCs w:val="14"/>
              </w:rPr>
              <w:t xml:space="preserve">SEVERITY</w:t>
            </w:r>
          </w:p>
        </w:tc>
        <w:tc>
          <w:tcPr>
            <w:tcW w:type="dxa" w:w="2400"/>
            <w:tcBorders>
              <w:top w:val="single" w:color="D4D0C8" w:sz="1"/>
              <w:left w:val="single" w:color="D4D0C8" w:sz="1"/>
              <w:bottom w:val="single" w:color="D4D0C8" w:sz="1"/>
              <w:right w:val="single" w:color="D4D0C8" w:sz="1"/>
            </w:tcBorders>
            <w:shd w:fill="121A28" w:val="clear"/>
            <w:tcMar>
              <w:top w:type="dxa" w:w="80"/>
              <w:left w:type="dxa" w:w="120"/>
              <w:bottom w:type="dxa" w:w="80"/>
              <w:right w:type="dxa" w:w="120"/>
            </w:tcMar>
          </w:tcPr>
          <w:p>
            <w:r>
              <w:rPr>
                <w:rFonts w:ascii="Courier New" w:cs="Courier New" w:eastAsia="Courier New" w:hAnsi="Courier New"/>
                <w:b/>
                <w:bCs/>
                <w:color w:val="F5F5DC"/>
                <w:sz w:val="14"/>
                <w:szCs w:val="14"/>
              </w:rPr>
              <w:t xml:space="preserve">FINDING</w:t>
            </w:r>
          </w:p>
        </w:tc>
        <w:tc>
          <w:tcPr>
            <w:tcW w:type="dxa" w:w="5760"/>
            <w:tcBorders>
              <w:top w:val="single" w:color="D4D0C8" w:sz="1"/>
              <w:left w:val="single" w:color="D4D0C8" w:sz="1"/>
              <w:bottom w:val="single" w:color="D4D0C8" w:sz="1"/>
              <w:right w:val="single" w:color="D4D0C8" w:sz="1"/>
            </w:tcBorders>
            <w:shd w:fill="121A28" w:val="clear"/>
            <w:tcMar>
              <w:top w:type="dxa" w:w="80"/>
              <w:left w:type="dxa" w:w="120"/>
              <w:bottom w:type="dxa" w:w="80"/>
              <w:right w:type="dxa" w:w="120"/>
            </w:tcMar>
          </w:tcPr>
          <w:p>
            <w:r>
              <w:rPr>
                <w:rFonts w:ascii="Courier New" w:cs="Courier New" w:eastAsia="Courier New" w:hAnsi="Courier New"/>
                <w:b/>
                <w:bCs/>
                <w:color w:val="F5F5DC"/>
                <w:sz w:val="14"/>
                <w:szCs w:val="14"/>
              </w:rPr>
              <w:t xml:space="preserve">DETAIL</w:t>
            </w:r>
          </w:p>
        </w:tc>
      </w:tr>
      <w:tr>
        <w:tc>
          <w:tcPr>
            <w:tcW w:type="dxa" w:w="1200"/>
            <w:tcBorders>
              <w:top w:val="single" w:color="D4D0C8" w:sz="1"/>
              <w:left w:val="single" w:color="D4D0C8" w:sz="1"/>
              <w:bottom w:val="single" w:color="D4D0C8" w:sz="1"/>
              <w:right w:val="single" w:color="D4D0C8" w:sz="1"/>
            </w:tcBorders>
            <w:shd w:fill="FDF2F2" w:val="clear"/>
            <w:tcMar>
              <w:top w:type="dxa" w:w="80"/>
              <w:left w:type="dxa" w:w="120"/>
              <w:bottom w:type="dxa" w:w="80"/>
              <w:right w:type="dxa" w:w="120"/>
            </w:tcMar>
          </w:tcPr>
          <w:p>
            <w:r>
              <w:rPr>
                <w:rFonts w:ascii="Courier New" w:cs="Courier New" w:eastAsia="Courier New" w:hAnsi="Courier New"/>
                <w:b/>
                <w:bCs/>
                <w:color w:val="C41E3A"/>
                <w:sz w:val="16"/>
                <w:szCs w:val="16"/>
              </w:rPr>
              <w:t xml:space="preserve">RED</w:t>
            </w:r>
          </w:p>
        </w:tc>
        <w:tc>
          <w:tcPr>
            <w:tcW w:type="dxa" w:w="2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b/>
                <w:bCs/>
                <w:sz w:val="20"/>
                <w:szCs w:val="20"/>
              </w:rPr>
              <w:t xml:space="preserve">No Unified Reporting</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color w:val="555555"/>
                <w:sz w:val="20"/>
                <w:szCs w:val="20"/>
              </w:rPr>
              <w:t>Multiple functions reporting independently. No shared cadence, no shared definitions, no consolidated view.</w:t>
            </w:r>
          </w:p>
        </w:tc>
      </w:tr>
      <w:tr>
        <w:tc>
          <w:tcPr>
            <w:tcW w:type="dxa" w:w="1200"/>
            <w:tcBorders>
              <w:top w:val="single" w:color="D4D0C8" w:sz="1"/>
              <w:left w:val="single" w:color="D4D0C8" w:sz="1"/>
              <w:bottom w:val="single" w:color="D4D0C8" w:sz="1"/>
              <w:right w:val="single" w:color="D4D0C8" w:sz="1"/>
            </w:tcBorders>
            <w:shd w:fill="FDF2F2" w:val="clear"/>
            <w:tcMar>
              <w:top w:type="dxa" w:w="80"/>
              <w:left w:type="dxa" w:w="120"/>
              <w:bottom w:type="dxa" w:w="80"/>
              <w:right w:type="dxa" w:w="120"/>
            </w:tcMar>
          </w:tcPr>
          <w:p>
            <w:r>
              <w:rPr>
                <w:rFonts w:ascii="Courier New" w:cs="Courier New" w:eastAsia="Courier New" w:hAnsi="Courier New"/>
                <w:b/>
                <w:bCs/>
                <w:color w:val="C41E3A"/>
                <w:sz w:val="16"/>
                <w:szCs w:val="16"/>
              </w:rPr>
              <w:t xml:space="preserve">RED</w:t>
            </w:r>
          </w:p>
        </w:tc>
        <w:tc>
          <w:tcPr>
            <w:tcW w:type="dxa" w:w="2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b/>
                <w:bCs/>
                <w:sz w:val="20"/>
                <w:szCs w:val="20"/>
              </w:rPr>
              <w:t xml:space="preserve">Data Access Bottleneck</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color w:val="555555"/>
                <w:sz w:val="20"/>
                <w:szCs w:val="20"/>
              </w:rPr>
              <w:t>Real-time commerce data locked behind a small access group. Everyone else submitted requests and waited.</w:t>
            </w:r>
          </w:p>
        </w:tc>
      </w:tr>
      <w:tr>
        <w:tc>
          <w:tcPr>
            <w:tcW w:type="dxa" w:w="1200"/>
            <w:tcBorders>
              <w:top w:val="single" w:color="D4D0C8" w:sz="1"/>
              <w:left w:val="single" w:color="D4D0C8" w:sz="1"/>
              <w:bottom w:val="single" w:color="D4D0C8" w:sz="1"/>
              <w:right w:val="single" w:color="D4D0C8" w:sz="1"/>
            </w:tcBorders>
            <w:shd w:fill="FDF2F2" w:val="clear"/>
            <w:tcMar>
              <w:top w:type="dxa" w:w="80"/>
              <w:left w:type="dxa" w:w="120"/>
              <w:bottom w:type="dxa" w:w="80"/>
              <w:right w:type="dxa" w:w="120"/>
            </w:tcMar>
          </w:tcPr>
          <w:p>
            <w:r>
              <w:rPr>
                <w:rFonts w:ascii="Courier New" w:cs="Courier New" w:eastAsia="Courier New" w:hAnsi="Courier New"/>
                <w:b/>
                <w:bCs/>
                <w:color w:val="C41E3A"/>
                <w:sz w:val="16"/>
                <w:szCs w:val="16"/>
              </w:rPr>
              <w:t xml:space="preserve">RED</w:t>
            </w:r>
          </w:p>
        </w:tc>
        <w:tc>
          <w:tcPr>
            <w:tcW w:type="dxa" w:w="2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b/>
                <w:bCs/>
                <w:sz w:val="20"/>
                <w:szCs w:val="20"/>
              </w:rPr>
              <w:t xml:space="preserve">Capacity Consumed</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color w:val="555555"/>
                <w:sz w:val="20"/>
                <w:szCs w:val="20"/>
              </w:rPr>
              <w:t>Significant collective team capacity per month spent pulling numbers from disconnected dashboards.</w:t>
            </w:r>
          </w:p>
        </w:tc>
      </w:tr>
      <w:tr>
        <w:tc>
          <w:tcPr>
            <w:tcW w:type="dxa" w:w="1200"/>
            <w:tcBorders>
              <w:top w:val="single" w:color="D4D0C8" w:sz="1"/>
              <w:left w:val="single" w:color="D4D0C8" w:sz="1"/>
              <w:bottom w:val="single" w:color="D4D0C8" w:sz="1"/>
              <w:right w:val="single" w:color="D4D0C8" w:sz="1"/>
            </w:tcBorders>
            <w:shd w:fill="FFFBF0" w:val="clear"/>
            <w:tcMar>
              <w:top w:type="dxa" w:w="80"/>
              <w:left w:type="dxa" w:w="120"/>
              <w:bottom w:type="dxa" w:w="80"/>
              <w:right w:type="dxa" w:w="120"/>
            </w:tcMar>
          </w:tcPr>
          <w:p>
            <w:r>
              <w:rPr>
                <w:rFonts w:ascii="Courier New" w:cs="Courier New" w:eastAsia="Courier New" w:hAnsi="Courier New"/>
                <w:b/>
                <w:bCs/>
                <w:color w:val="D4A017"/>
                <w:sz w:val="16"/>
                <w:szCs w:val="16"/>
              </w:rPr>
              <w:t xml:space="preserve">YELLOW</w:t>
            </w:r>
          </w:p>
        </w:tc>
        <w:tc>
          <w:tcPr>
            <w:tcW w:type="dxa" w:w="2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b/>
                <w:bCs/>
                <w:sz w:val="20"/>
                <w:szCs w:val="20"/>
              </w:rPr>
              <w:t xml:space="preserve">No Standardized Definitions</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color w:val="555555"/>
                <w:sz w:val="20"/>
                <w:szCs w:val="20"/>
              </w:rPr>
              <w:t xml:space="preserve">Teams used the same words to mean different things. Cross-functional comparison was impossible.</w:t>
            </w:r>
          </w:p>
        </w:tc>
      </w:tr>
      <w:tr>
        <w:tc>
          <w:tcPr>
            <w:tcW w:type="dxa" w:w="1200"/>
            <w:tcBorders>
              <w:top w:val="single" w:color="D4D0C8" w:sz="1"/>
              <w:left w:val="single" w:color="D4D0C8" w:sz="1"/>
              <w:bottom w:val="single" w:color="D4D0C8" w:sz="1"/>
              <w:right w:val="single" w:color="D4D0C8" w:sz="1"/>
            </w:tcBorders>
            <w:shd w:fill="FFFBF0" w:val="clear"/>
            <w:tcMar>
              <w:top w:type="dxa" w:w="80"/>
              <w:left w:type="dxa" w:w="120"/>
              <w:bottom w:type="dxa" w:w="80"/>
              <w:right w:type="dxa" w:w="120"/>
            </w:tcMar>
          </w:tcPr>
          <w:p>
            <w:r>
              <w:rPr>
                <w:rFonts w:ascii="Courier New" w:cs="Courier New" w:eastAsia="Courier New" w:hAnsi="Courier New"/>
                <w:b/>
                <w:bCs/>
                <w:color w:val="D4A017"/>
                <w:sz w:val="16"/>
                <w:szCs w:val="16"/>
              </w:rPr>
              <w:t xml:space="preserve">YELLOW</w:t>
            </w:r>
          </w:p>
        </w:tc>
        <w:tc>
          <w:tcPr>
            <w:tcW w:type="dxa" w:w="2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b/>
                <w:bCs/>
                <w:sz w:val="20"/>
                <w:szCs w:val="20"/>
              </w:rPr>
              <w:t xml:space="preserve">Executor Mode Only</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color w:val="555555"/>
                <w:sz w:val="20"/>
                <w:szCs w:val="20"/>
              </w:rPr>
              <w:t xml:space="preserve">Cognitively maxed out. The mode switch from sprint execution to reflective reporting required bandwidth nobody had.</w:t>
            </w:r>
          </w:p>
        </w:tc>
      </w:tr>
      <w:tr>
        <w:tc>
          <w:tcPr>
            <w:tcW w:type="dxa" w:w="1200"/>
            <w:tcBorders>
              <w:top w:val="single" w:color="D4D0C8" w:sz="1"/>
              <w:left w:val="single" w:color="D4D0C8" w:sz="1"/>
              <w:bottom w:val="single" w:color="D4D0C8" w:sz="1"/>
              <w:right w:val="single" w:color="D4D0C8" w:sz="1"/>
            </w:tcBorders>
            <w:shd w:fill="FFFBF0" w:val="clear"/>
            <w:tcMar>
              <w:top w:type="dxa" w:w="80"/>
              <w:left w:type="dxa" w:w="120"/>
              <w:bottom w:type="dxa" w:w="80"/>
              <w:right w:type="dxa" w:w="120"/>
            </w:tcMar>
          </w:tcPr>
          <w:p>
            <w:r>
              <w:rPr>
                <w:rFonts w:ascii="Courier New" w:cs="Courier New" w:eastAsia="Courier New" w:hAnsi="Courier New"/>
                <w:b/>
                <w:bCs/>
                <w:color w:val="D4A017"/>
                <w:sz w:val="16"/>
                <w:szCs w:val="16"/>
              </w:rPr>
              <w:t xml:space="preserve">YELLOW</w:t>
            </w:r>
          </w:p>
        </w:tc>
        <w:tc>
          <w:tcPr>
            <w:tcW w:type="dxa" w:w="2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b/>
                <w:bCs/>
                <w:sz w:val="20"/>
                <w:szCs w:val="20"/>
              </w:rPr>
              <w:t xml:space="preserve">No AI-Ready Foundation</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color w:val="555555"/>
                <w:sz w:val="20"/>
                <w:szCs w:val="20"/>
              </w:rPr>
              <w:t xml:space="preserve">Manual processes blocked AI adoption. The data hygiene problem was the prerequisite nobody wanted to solve first.</w:t>
            </w:r>
          </w:p>
        </w:tc>
      </w:tr>
    </w:tbl>
    <w:p>
      <w:r>
        <w:br w:type="page"/>
      </w:r>
    </w:p>
    <w:p>
      <w:pPr>
        <w:pStyle w:val="Heading1"/>
      </w:pPr>
      <w:r>
        <w:t xml:space="preserve">The Strategic Intent</w:t>
      </w:r>
    </w:p>
    <w:p>
      <w:pPr>
        <w:pStyle w:val="Heading2"/>
      </w:pPr>
      <w:r>
        <w:t xml:space="preserve">Four Objectives on One Initiative</w:t>
      </w:r>
    </w:p>
    <w:p>
      <w:pPr>
        <w:spacing w:after="200"/>
      </w:pPr>
      <w:r>
        <w:t xml:space="preserve">This was not a reporting cleanup. Four objectives were stacked on a single initiative, each dependent on the one before it:</w:t>
      </w:r>
    </w:p>
    <w:p>
      <w:pPr>
        <w:pStyle w:val="ListParagraph"/>
        <w:numPr>
          <w:ilvl w:val="0"/>
          <w:numId w:val="2"/>
        </w:numPr>
        <w:spacing w:after="120"/>
      </w:pPr>
      <w:r>
        <w:rPr>
          <w:b/>
          <w:bCs/>
        </w:rPr>
        <w:t xml:space="preserve">Data hygiene proof-of-concept. </w:t>
      </w:r>
      <w:r>
        <w:t xml:space="preserve">Build a contained, visible example of clean, consolidated data flowing into reliable formats. Prove it could work before anyone would trust AI built on the company’s data.</w:t>
      </w:r>
    </w:p>
    <w:p>
      <w:pPr>
        <w:pStyle w:val="ListParagraph"/>
        <w:numPr>
          <w:ilvl w:val="0"/>
          <w:numId w:val="2"/>
        </w:numPr>
        <w:spacing w:after="120"/>
      </w:pPr>
      <w:r>
        <w:rPr>
          <w:b/>
          <w:bCs/>
        </w:rPr>
        <w:t>Capacity liberation. Free team members from manual data aggregation so they could do the higher-value work they never had time for.</w:t>
      </w:r>
      <w:r/>
    </w:p>
    <w:p>
      <w:pPr>
        <w:pStyle w:val="ListParagraph"/>
        <w:numPr>
          <w:ilvl w:val="0"/>
          <w:numId w:val="2"/>
        </w:numPr>
        <w:spacing w:after="120"/>
      </w:pPr>
      <w:r>
        <w:rPr>
          <w:b/>
          <w:bCs/>
        </w:rPr>
        <w:t xml:space="preserve">AI onboarding vehicle. </w:t>
      </w:r>
      <w:r>
        <w:t xml:space="preserve">Create tangible, relatable use cases that skeptical, overworked, non-technical employees could experience firsthand. Not training decks… lived experience.</w:t>
      </w:r>
    </w:p>
    <w:p>
      <w:pPr>
        <w:pStyle w:val="ListParagraph"/>
        <w:numPr>
          <w:ilvl w:val="0"/>
          <w:numId w:val="2"/>
        </w:numPr>
        <w:spacing w:after="200"/>
      </w:pPr>
      <w:r>
        <w:rPr>
          <w:b/>
          <w:bCs/>
        </w:rPr>
        <w:t>Organizational change management. Design the showcase to be useful enough that AI felt like a tool, not a mandate. Data democratization… moving from a few gatekeepers to universal access… was the proof point that landed.</w:t>
      </w:r>
      <w:r/>
    </w:p>
    <w:p>
      <w:pPr>
        <w:pStyle w:val="Heading1"/>
      </w:pPr>
      <w:r>
        <w:t xml:space="preserve">The Approach</w:t>
      </w:r>
    </w:p>
    <w:p>
      <w:pPr>
        <w:pStyle w:val="Heading2"/>
      </w:pPr>
      <w:r>
        <w:t xml:space="preserve">Build the Infrastructure. Free the Capacity.</w:t>
      </w:r>
    </w:p>
    <w:p>
      <w:pPr>
        <w:pStyle w:val="Heading3"/>
      </w:pPr>
      <w:r>
        <w:t xml:space="preserve">Phase 01: Consolidate the Data Feeds</w:t>
      </w:r>
    </w:p>
    <w:p>
      <w:pPr>
        <w:spacing w:after="200"/>
      </w:pPr>
      <w:r>
        <w:t>Partnered with data analytics to connect more than ten platforms (analytics dashboards, spreadsheets, commerce admin, web analytics, search tools, email/SMS platforms, affiliate tracking, reputation management, call tracking) into unified dashboards with continuous data pulls instead of monthly manual extraction.</w:t>
      </w:r>
    </w:p>
    <w:p>
      <w:pPr>
        <w:pStyle w:val="Heading3"/>
      </w:pPr>
      <w:r>
        <w:t xml:space="preserve">Phase 02: Democratize Access</w:t>
      </w:r>
    </w:p>
    <w:p>
      <w:pPr>
        <w:spacing w:after="200"/>
      </w:pPr>
      <w:r>
        <w:t>Moved real-time inventory and P&amp;L data from a access bottleneck into a dynamic dashboard anyone could view. The interrupt-and-wait cycle ended. A welcomed delete… not anger at the old system, just visible relief that it was gone.</w:t>
      </w:r>
    </w:p>
    <w:p>
      <w:pPr>
        <w:pStyle w:val="Heading3"/>
      </w:pPr>
      <w:r>
        <w:t xml:space="preserve">Phase 03: Standardize the Operating Cadence</w:t>
      </w:r>
    </w:p>
    <w:p>
      <w:pPr>
        <w:spacing w:after="200"/>
      </w:pPr>
      <w:r>
        <w:t>Designed the MBR governance structure: section owners complete by the first Wednesday. Review on the first Thursday. Follow-ups noted, distributed to the announcements channel with a link to the master document. Follow-up owners respond in-thread and link responses back. Fixed timing. No ambiguity about who does what and when.</w:t>
      </w:r>
    </w:p>
    <w:p>
      <w:pPr>
        <w:pStyle w:val="Heading3"/>
      </w:pPr>
      <w:r>
        <w:t xml:space="preserve">Principle: Shift the Cognitive Mode</w:t>
      </w:r>
    </w:p>
    <w:p>
      <w:pPr>
        <w:spacing w:after="200"/>
      </w:pPr>
      <w:r>
        <w:t xml:space="preserve">The real intervention was not the dashboards. It was moving section owners from data entry to data verification and performance analysis. The summaries and upcoming-initiatives sections required strategic reflection, not number reporting. That was the behavioral shift the automation existed to create.</w:t>
      </w:r>
    </w:p>
    <w:p>
      <w:r>
        <w:br w:type="page"/>
      </w:r>
    </w:p>
    <w:p>
      <w:pPr>
        <w:pStyle w:val="Heading1"/>
      </w:pPr>
      <w:r>
        <w:t xml:space="preserve">The MBR Structure</w:t>
      </w:r>
    </w:p>
    <w:p>
      <w:pPr>
        <w:pStyle w:val="Heading2"/>
      </w:pPr>
      <w:r>
        <w:t>Sections Covering the Full Operation</w:t>
      </w:r>
    </w:p>
    <w:p>
      <w:pPr>
        <w:spacing w:after="200"/>
      </w:pPr>
      <w:r>
        <w:t xml:space="preserve">Each section followed a standardized template: owner and description, metrics table with month-over-month, year-over-year and year-to-date comparisons, supporting dashboard links, term definitions, performance summary (narrative analysis, not number restatement) and upcoming initiatives.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3360"/>
      </w:tblGrid>
      <w:tr>
        <w:tc>
          <w:tcPr>
            <w:tcW w:type="dxa" w:w="600"/>
            <w:tcBorders>
              <w:top w:val="single" w:color="D4D0C8" w:sz="1"/>
              <w:left w:val="single" w:color="D4D0C8" w:sz="1"/>
              <w:bottom w:val="single" w:color="D4D0C8" w:sz="1"/>
              <w:right w:val="single" w:color="D4D0C8" w:sz="1"/>
            </w:tcBorders>
            <w:shd w:fill="121A28" w:val="clear"/>
            <w:tcMar>
              <w:top w:type="dxa" w:w="60"/>
              <w:left w:type="dxa" w:w="100"/>
              <w:bottom w:type="dxa" w:w="60"/>
              <w:right w:type="dxa" w:w="100"/>
            </w:tcMar>
          </w:tcPr>
          <w:p>
            <w:r>
              <w:rPr>
                <w:rFonts w:ascii="Courier New" w:cs="Courier New" w:eastAsia="Courier New" w:hAnsi="Courier New"/>
                <w:b/>
                <w:bCs/>
                <w:color w:val="F5F5DC"/>
                <w:sz w:val="13"/>
                <w:szCs w:val="13"/>
              </w:rPr>
              <w:t xml:space="preserve">#</w:t>
            </w:r>
          </w:p>
        </w:tc>
        <w:tc>
          <w:tcPr>
            <w:tcW w:type="dxa" w:w="2800"/>
            <w:tcBorders>
              <w:top w:val="single" w:color="D4D0C8" w:sz="1"/>
              <w:left w:val="single" w:color="D4D0C8" w:sz="1"/>
              <w:bottom w:val="single" w:color="D4D0C8" w:sz="1"/>
              <w:right w:val="single" w:color="D4D0C8" w:sz="1"/>
            </w:tcBorders>
            <w:shd w:fill="121A28" w:val="clear"/>
            <w:tcMar>
              <w:top w:type="dxa" w:w="60"/>
              <w:left w:type="dxa" w:w="100"/>
              <w:bottom w:type="dxa" w:w="60"/>
              <w:right w:type="dxa" w:w="100"/>
            </w:tcMar>
          </w:tcPr>
          <w:p>
            <w:r>
              <w:rPr>
                <w:rFonts w:ascii="Courier New" w:cs="Courier New" w:eastAsia="Courier New" w:hAnsi="Courier New"/>
                <w:b/>
                <w:bCs/>
                <w:color w:val="F5F5DC"/>
                <w:sz w:val="13"/>
                <w:szCs w:val="13"/>
              </w:rPr>
              <w:t xml:space="preserve">SECTION</w:t>
            </w:r>
          </w:p>
        </w:tc>
        <w:tc>
          <w:tcPr>
            <w:tcW w:type="dxa" w:w="2600"/>
            <w:tcBorders>
              <w:top w:val="single" w:color="D4D0C8" w:sz="1"/>
              <w:left w:val="single" w:color="D4D0C8" w:sz="1"/>
              <w:bottom w:val="single" w:color="D4D0C8" w:sz="1"/>
              <w:right w:val="single" w:color="D4D0C8" w:sz="1"/>
            </w:tcBorders>
            <w:shd w:fill="121A28" w:val="clear"/>
            <w:tcMar>
              <w:top w:type="dxa" w:w="60"/>
              <w:left w:type="dxa" w:w="100"/>
              <w:bottom w:type="dxa" w:w="60"/>
              <w:right w:type="dxa" w:w="100"/>
            </w:tcMar>
          </w:tcPr>
          <w:p>
            <w:r>
              <w:rPr>
                <w:rFonts w:ascii="Courier New" w:cs="Courier New" w:eastAsia="Courier New" w:hAnsi="Courier New"/>
                <w:b/>
                <w:bCs/>
                <w:color w:val="F5F5DC"/>
                <w:sz w:val="13"/>
                <w:szCs w:val="13"/>
              </w:rPr>
              <w:t xml:space="preserve">OWNER ROLE</w:t>
            </w:r>
          </w:p>
        </w:tc>
        <w:tc>
          <w:tcPr>
            <w:tcW w:type="dxa" w:w="3360"/>
            <w:tcBorders>
              <w:top w:val="single" w:color="D4D0C8" w:sz="1"/>
              <w:left w:val="single" w:color="D4D0C8" w:sz="1"/>
              <w:bottom w:val="single" w:color="D4D0C8" w:sz="1"/>
              <w:right w:val="single" w:color="D4D0C8" w:sz="1"/>
            </w:tcBorders>
            <w:shd w:fill="121A28" w:val="clear"/>
            <w:tcMar>
              <w:top w:type="dxa" w:w="60"/>
              <w:left w:type="dxa" w:w="100"/>
              <w:bottom w:type="dxa" w:w="60"/>
              <w:right w:type="dxa" w:w="100"/>
            </w:tcMar>
          </w:tcPr>
          <w:p>
            <w:r>
              <w:rPr>
                <w:rFonts w:ascii="Courier New" w:cs="Courier New" w:eastAsia="Courier New" w:hAnsi="Courier New"/>
                <w:b/>
                <w:bCs/>
                <w:color w:val="F5F5DC"/>
                <w:sz w:val="13"/>
                <w:szCs w:val="13"/>
              </w:rPr>
              <w:t xml:space="preserve">KEY PLATFORMS</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1</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Web Operations</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Web Operations Lead</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GA4, BI Dashboard</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2</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Online Platform Experience</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Product Owner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GA4, BI Dashboard, Internal Orders</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3</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Online Parts (DTC)</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E-Commerce Lead</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Shopify, BI Dashboard</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4</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3P Marketplace Channels</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Marketplace Manager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Amazon, eBay, Google Sheets</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5</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SEO</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SEO Specialist + Web Ops</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Google Search Console, Ahrefs</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6</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Paid Search</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Paid Media Manager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Google Ads, CallRail</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7</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Affiliates</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Affiliate Manager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Impact</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8</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Organic Social</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Social Media Manager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Chatmeter (FB/IG/LI)</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9</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Marketing Emails</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Email/SMS Manager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Klaviyo, Google Sheets</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10</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SMS</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Email/SMS Manager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Klaviyo, Google Sheets</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11</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Digital Asset Mgmt</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DAM Manager</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DAM Platform, Internal LMS</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12</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Promo Merchandise</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Swag Operations</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 xml:space="preserve">Swag Store, Shopify</w:t>
            </w:r>
          </w:p>
        </w:tc>
      </w:tr>
      <w:tr>
        <w:tc>
          <w:tcPr>
            <w:tcW w:type="dxa" w:w="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b/>
                <w:bCs/>
                <w:sz w:val="18"/>
                <w:szCs w:val="18"/>
              </w:rPr>
              <w:t xml:space="preserve">Regional Programs</w:t>
            </w:r>
          </w:p>
        </w:tc>
        <w:tc>
          <w:tcPr>
            <w:tcW w:type="dxa" w:w="2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color w:val="555555"/>
                <w:sz w:val="18"/>
                <w:szCs w:val="18"/>
              </w:rPr>
              <w:t xml:space="preserve">Regional Marketing Leads</w:t>
            </w:r>
          </w:p>
        </w:tc>
        <w:tc>
          <w:tcPr>
            <w:tcW w:type="dxa" w:w="336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Courier New" w:cs="Courier New" w:eastAsia="Courier New" w:hAnsi="Courier New"/>
                <w:color w:val="555555"/>
                <w:sz w:val="18"/>
                <w:szCs w:val="18"/>
              </w:rPr>
              <w:t>BI Dashboard, Various</w:t>
            </w:r>
          </w:p>
        </w:tc>
      </w:tr>
    </w:tbl>
    <w:p>
      <w:r>
        <w:br w:type="page"/>
      </w:r>
    </w:p>
    <w:p>
      <w:pPr>
        <w:pStyle w:val="Heading1"/>
      </w:pPr>
      <w:r>
        <w:t xml:space="preserve">The Outcome</w:t>
      </w:r>
    </w:p>
    <w:p>
      <w:pPr>
        <w:pStyle w:val="Heading2"/>
      </w:pPr>
      <w:r>
        <w:t xml:space="preserve">What the Infrastructure Produced</w:t>
      </w:r>
    </w:p>
    <w:p>
      <w:pPr>
        <w:pStyle w:val="ListParagraph"/>
        <w:numPr>
          <w:ilvl w:val="0"/>
          <w:numId w:val="2"/>
        </w:numPr>
        <w:spacing w:after="120"/>
      </w:pPr>
      <w:r>
        <w:t>Multiple functions unified on a single governance cadence for the first time</w:t>
      </w:r>
    </w:p>
    <w:p>
      <w:pPr>
        <w:pStyle w:val="ListParagraph"/>
        <w:numPr>
          <w:ilvl w:val="0"/>
          <w:numId w:val="2"/>
        </w:numPr>
        <w:spacing w:after="120"/>
      </w:pPr>
      <w:r>
        <w:t>Multiple data platforms consolidated into unified dashboard infrastructure</w:t>
      </w:r>
    </w:p>
    <w:p>
      <w:pPr>
        <w:pStyle w:val="ListParagraph"/>
        <w:numPr>
          <w:ilvl w:val="0"/>
          <w:numId w:val="2"/>
        </w:numPr>
        <w:spacing w:after="120"/>
      </w:pPr>
      <w:r>
        <w:t>More than 100 cross-functional metrics visible in one view</w:t>
      </w:r>
    </w:p>
    <w:p>
      <w:pPr>
        <w:pStyle w:val="ListParagraph"/>
        <w:numPr>
          <w:ilvl w:val="0"/>
          <w:numId w:val="2"/>
        </w:numPr>
        <w:spacing w:after="120"/>
      </w:pPr>
      <w:r>
        <w:t>Data access bottleneck for real-time commerce data eliminated entirely</w:t>
      </w:r>
    </w:p>
    <w:p>
      <w:pPr>
        <w:pStyle w:val="ListParagraph"/>
        <w:numPr>
          <w:ilvl w:val="0"/>
          <w:numId w:val="2"/>
        </w:numPr>
        <w:spacing w:after="120"/>
      </w:pPr>
      <w:r>
        <w:t xml:space="preserve">Standardized definitions created shared vocabulary across teams that had never aligned on terminology</w:t>
      </w:r>
    </w:p>
    <w:p>
      <w:pPr>
        <w:pStyle w:val="ListParagraph"/>
        <w:numPr>
          <w:ilvl w:val="0"/>
          <w:numId w:val="2"/>
        </w:numPr>
        <w:spacing w:after="200"/>
      </w:pPr>
      <w:r>
        <w:t xml:space="preserve">Dashboard infrastructure survived multiple organizational restructures, proving the system design was sound independent of any individual</w:t>
      </w:r>
    </w:p>
    <w:p>
      <w:pPr>
        <w:pStyle w:val="Heading1"/>
      </w:pPr>
      <w:r>
        <w:t xml:space="preserve">The Honest Ending</w:t>
      </w:r>
    </w:p>
    <w:p>
      <w:pPr>
        <w:spacing w:after="200"/>
      </w:pPr>
      <w:r>
        <w:t>The director who championed this structure was terminated alongside a significant number of headquarters and executive employees. The MBR governance layer died with the sponsorship. The team was divided and reshuffled twice within six months.</w:t>
      </w:r>
    </w:p>
    <w:p>
      <w:pPr>
        <w:spacing w:after="200"/>
      </w:pPr>
      <w:r>
        <w:t xml:space="preserve">They had just hit a groove. Section owners were contributing consistently. The system was reaching the point where it could move past basic reporting into the strategic AI use cases that were the original intent.</w:t>
      </w:r>
    </w:p>
    <w:p>
      <w:pPr>
        <w:spacing w:after="200"/>
      </w:pPr>
      <w:r>
        <w:t xml:space="preserve">The dashboard infrastructure still runs. The governance doesn’t.</w:t>
      </w:r>
    </w:p>
    <w:p>
      <w:pPr>
        <w:spacing w:after="200"/>
      </w:pPr>
      <w:r>
        <w:t xml:space="preserve">Automation without sustained organizational sponsorship is infrastructure without a roof. The technology survived every disruption thrown at it. What collapsed was the human layer… the cadence, the accountability, the direction. </w:t>
      </w:r>
      <w:r>
        <w:rPr>
          <w:b/>
          <w:bCs/>
        </w:rPr>
        <w:t xml:space="preserve">That’s not a failure of the system design. That’s proof the system design was the easy part.</w:t>
      </w:r>
    </w:p>
    <w:p>
      <w:pPr>
        <w:pBdr>
          <w:top w:val="single" w:color="00685E" w:sz="4" w:space="12"/>
        </w:pBdr>
        <w:spacing w:before="600"/>
      </w:pPr>
    </w:p>
    <w:p>
      <w:pPr>
        <w:spacing w:after="60"/>
      </w:pPr>
      <w:r>
        <w:rPr>
          <w:rFonts w:ascii="Courier New" w:cs="Courier New" w:eastAsia="Courier New" w:hAnsi="Courier New"/>
          <w:b/>
          <w:bCs/>
          <w:color w:val="00685E"/>
          <w:spacing w:val="100"/>
          <w:sz w:val="14"/>
          <w:szCs w:val="14"/>
        </w:rPr>
        <w:t xml:space="preserve">PREPARED BY</w:t>
      </w:r>
    </w:p>
    <w:p>
      <w:pPr>
        <w:spacing w:after="40"/>
      </w:pPr>
      <w:r>
        <w:rPr>
          <w:rFonts w:ascii="Georgia" w:cs="Georgia" w:eastAsia="Georgia" w:hAnsi="Georgia"/>
          <w:b/>
          <w:bCs/>
          <w:color w:val="121A28"/>
          <w:sz w:val="24"/>
          <w:szCs w:val="24"/>
        </w:rPr>
        <w:t xml:space="preserve">Angie Bailey</w:t>
      </w:r>
    </w:p>
    <w:p>
      <w:r>
        <w:rPr>
          <w:rFonts w:ascii="Courier New" w:cs="Courier New" w:eastAsia="Courier New" w:hAnsi="Courier New"/>
          <w:color w:val="00685E"/>
          <w:sz w:val="16"/>
          <w:szCs w:val="16"/>
        </w:rPr>
        <w:t xml:space="preserve">angieqbailey.com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85E" w:sz="4" w:space="8"/>
      </w:pBdr>
      <w:jc w:val="right"/>
    </w:pPr>
    <w:r>
      <w:rPr>
        <w:rFonts w:ascii="Courier New" w:cs="Courier New" w:eastAsia="Courier New" w:hAnsi="Courier New"/>
        <w:color w:val="999999"/>
        <w:sz w:val="14"/>
        <w:szCs w:val="14"/>
      </w:rPr>
      <w:t xml:space="preserve">Angie Bailey  //  angieqbailey.com  //  Page </w:t>
    </w:r>
    <w:r>
      <w:rPr>
        <w:rFonts w:ascii="Courier New" w:cs="Courier New" w:eastAsia="Courier New" w:hAnsi="Courier New"/>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85E" w:sz="4" w:space="8"/>
      </w:pBdr>
    </w:pPr>
    <w:r>
      <w:rPr>
        <w:rFonts w:ascii="Courier New" w:cs="Courier New" w:eastAsia="Courier New" w:hAnsi="Courier New"/>
        <w:b/>
        <w:bCs/>
        <w:color w:val="00685E"/>
        <w:sz w:val="14"/>
        <w:szCs w:val="14"/>
      </w:rPr>
      <w:t xml:space="preserve">CASE STUDY COMPANION  </w:t>
    </w:r>
    <w:r>
      <w:rPr>
        <w:rFonts w:ascii="Courier New" w:cs="Courier New" w:eastAsia="Courier New" w:hAnsi="Courier New"/>
        <w:color w:val="999999"/>
        <w:sz w:val="14"/>
        <w:szCs w:val="14"/>
      </w:rPr>
      <w:t xml:space="preserve">//  Marketing Infrastructure: MBR Debt Clearance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21A28"/>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D1B14"/>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00685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2026-04-27T01:19:26.211Z</dcterms:created>
  <dcterms:modified xsi:type="dcterms:W3CDTF">2026-04-27T01:19:26.211Z</dcterms:modified>
</cp:coreProperties>
</file>

<file path=docProps/custom.xml><?xml version="1.0" encoding="utf-8"?>
<Properties xmlns="http://schemas.openxmlformats.org/officeDocument/2006/custom-properties" xmlns:vt="http://schemas.openxmlformats.org/officeDocument/2006/docPropsVTypes"/>
</file>