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79A" w:rsidRDefault="001B71F2">
      <w:pPr>
        <w:pStyle w:val="Textoindependiente"/>
        <w:spacing w:before="35"/>
        <w:ind w:left="102"/>
        <w:jc w:val="both"/>
      </w:pPr>
      <w:r>
        <w:t>“Actividad 3 – evidencia 2”: “Estudio de caso "Accidente por riesgo biológico"</w:t>
      </w:r>
    </w:p>
    <w:p w:rsidR="00BA279A" w:rsidRDefault="00BA279A">
      <w:pPr>
        <w:pStyle w:val="Textoindependiente"/>
        <w:spacing w:before="6"/>
        <w:rPr>
          <w:sz w:val="19"/>
        </w:rPr>
      </w:pPr>
    </w:p>
    <w:p w:rsidR="00BA279A" w:rsidRDefault="001B71F2">
      <w:pPr>
        <w:pStyle w:val="Textoindependiente"/>
        <w:spacing w:line="276" w:lineRule="auto"/>
        <w:ind w:left="102" w:right="115"/>
        <w:jc w:val="both"/>
      </w:pPr>
      <w:r>
        <w:t>Anita, es una mujer de 41 años, trabaja hace varios meses en el área de servicios generales en un centro de estética muy reconocido, ella es la encargada de realizar la ruta de recolección de residuos del establecimiento. Por otro lado Paola es una nueva e</w:t>
      </w:r>
      <w:r>
        <w:t>steticista en el centro de estética, ella ingresó hace una semana al mismo. Cierto día Paola auxilió al médico que labora en el establecimiento durante un procedimiento invasivo, cuando el proceso finalizó, Paola recogió los residuos generados y los elimin</w:t>
      </w:r>
      <w:r>
        <w:t>ó, pero no los clasificó. Cuando Anita se encontraba realizando su labor de recolección de desechos, se enterró en la mano la aguja que el médico había</w:t>
      </w:r>
      <w:r w:rsidR="00157294">
        <w:t xml:space="preserve"> </w:t>
      </w:r>
      <w:r>
        <w:t>utilizado ya que esta no se encontraba en el recipiente adecuado, generándose una herida pequeña aunque c</w:t>
      </w:r>
      <w:r>
        <w:t>on presencia de sangre.</w:t>
      </w:r>
    </w:p>
    <w:p w:rsidR="00BA279A" w:rsidRDefault="00BA279A">
      <w:pPr>
        <w:pStyle w:val="Textoindependiente"/>
        <w:spacing w:before="9"/>
        <w:rPr>
          <w:sz w:val="16"/>
        </w:rPr>
      </w:pPr>
    </w:p>
    <w:p w:rsidR="00BA279A" w:rsidRDefault="001B71F2">
      <w:pPr>
        <w:pStyle w:val="Textoindependiente"/>
        <w:ind w:left="102"/>
        <w:jc w:val="both"/>
      </w:pPr>
      <w:r>
        <w:t>Analice el caso de Anita y determine:</w:t>
      </w:r>
    </w:p>
    <w:p w:rsidR="00BA279A" w:rsidRDefault="00BA279A">
      <w:pPr>
        <w:pStyle w:val="Textoindependiente"/>
        <w:spacing w:before="8"/>
        <w:rPr>
          <w:sz w:val="19"/>
        </w:rPr>
      </w:pPr>
    </w:p>
    <w:p w:rsidR="00157294" w:rsidRDefault="001B71F2">
      <w:pPr>
        <w:pStyle w:val="Prrafodelista"/>
        <w:numPr>
          <w:ilvl w:val="0"/>
          <w:numId w:val="1"/>
        </w:numPr>
        <w:tabs>
          <w:tab w:val="left" w:pos="321"/>
        </w:tabs>
        <w:spacing w:before="1"/>
      </w:pPr>
      <w:r>
        <w:t xml:space="preserve">¿A quién se le puede atribuir la causa del accidente de Anita? </w:t>
      </w:r>
      <w:r w:rsidR="00157294">
        <w:t xml:space="preserve">  Argumente su respuesta</w:t>
      </w:r>
    </w:p>
    <w:p w:rsidR="00157294" w:rsidRDefault="00157294" w:rsidP="00157294">
      <w:pPr>
        <w:pStyle w:val="Prrafodelista"/>
        <w:tabs>
          <w:tab w:val="left" w:pos="321"/>
        </w:tabs>
        <w:spacing w:before="1"/>
        <w:ind w:firstLine="0"/>
      </w:pPr>
      <w:r>
        <w:t>Al dueño del establecimiento  por no capacitar ni cerciorarse de que sus nuevos empleados conozcan el adecuado manejo de los residuos sólidos, porque aunque Anita es la encargada de la ruta de recolección todos los empleados deben conocer el manejo básico de los residuos y su adecuada clasificación</w:t>
      </w:r>
    </w:p>
    <w:p w:rsidR="00BA279A" w:rsidRDefault="00BA279A">
      <w:pPr>
        <w:pStyle w:val="Textoindependiente"/>
        <w:spacing w:before="8"/>
        <w:rPr>
          <w:sz w:val="19"/>
        </w:rPr>
      </w:pPr>
    </w:p>
    <w:p w:rsidR="00BA279A" w:rsidRDefault="001B71F2">
      <w:pPr>
        <w:pStyle w:val="Prrafodelista"/>
        <w:numPr>
          <w:ilvl w:val="0"/>
          <w:numId w:val="1"/>
        </w:numPr>
        <w:tabs>
          <w:tab w:val="left" w:pos="321"/>
        </w:tabs>
      </w:pPr>
      <w:r>
        <w:t>¿Cuál es el protocolo a seguir en el accidente que sufrió Anita?</w:t>
      </w:r>
      <w:r>
        <w:rPr>
          <w:spacing w:val="-8"/>
        </w:rPr>
        <w:t xml:space="preserve"> </w:t>
      </w:r>
      <w:r>
        <w:t>Descríbalo.</w:t>
      </w:r>
    </w:p>
    <w:p w:rsidR="00157294" w:rsidRDefault="00157294" w:rsidP="00157294">
      <w:pPr>
        <w:pStyle w:val="Prrafodelista"/>
      </w:pPr>
    </w:p>
    <w:p w:rsidR="00157294" w:rsidRDefault="001A3B75" w:rsidP="00157294">
      <w:pPr>
        <w:pStyle w:val="Prrafodelista"/>
        <w:tabs>
          <w:tab w:val="left" w:pos="321"/>
        </w:tabs>
        <w:ind w:firstLine="0"/>
      </w:pPr>
      <w:r>
        <w:t>En punción o heridas: Dejar sangrar libremente, luego lavar con agua y jabón, No utilizar hipoclorito de sodio</w:t>
      </w:r>
    </w:p>
    <w:p w:rsidR="001A3B75" w:rsidRDefault="001A3B75" w:rsidP="00157294">
      <w:pPr>
        <w:pStyle w:val="Prrafodelista"/>
        <w:tabs>
          <w:tab w:val="left" w:pos="321"/>
        </w:tabs>
        <w:ind w:firstLine="0"/>
      </w:pPr>
    </w:p>
    <w:p w:rsidR="001A3B75" w:rsidRDefault="001A3B75" w:rsidP="001A3B75">
      <w:pPr>
        <w:pStyle w:val="Prrafodelista"/>
        <w:numPr>
          <w:ilvl w:val="0"/>
          <w:numId w:val="2"/>
        </w:numPr>
        <w:tabs>
          <w:tab w:val="left" w:pos="321"/>
        </w:tabs>
      </w:pPr>
      <w:r>
        <w:t xml:space="preserve">Informe a: Jefe inmediato o coordinador de Salud Ocupacional. </w:t>
      </w:r>
    </w:p>
    <w:p w:rsidR="001A3B75" w:rsidRDefault="001A3B75" w:rsidP="001A3B75">
      <w:pPr>
        <w:pStyle w:val="Prrafodelista"/>
        <w:numPr>
          <w:ilvl w:val="0"/>
          <w:numId w:val="2"/>
        </w:numPr>
        <w:tabs>
          <w:tab w:val="left" w:pos="321"/>
        </w:tabs>
      </w:pPr>
      <w:r>
        <w:t>Diligencie: El FURAT (Formato Único de Accidente de Trabajo) de la ARL (Aseguradora de Riesgos Laborales) correspondiente.</w:t>
      </w:r>
    </w:p>
    <w:p w:rsidR="001A3B75" w:rsidRDefault="001A3B75" w:rsidP="001A3B75">
      <w:pPr>
        <w:pStyle w:val="Prrafodelista"/>
        <w:numPr>
          <w:ilvl w:val="0"/>
          <w:numId w:val="2"/>
        </w:numPr>
        <w:tabs>
          <w:tab w:val="left" w:pos="321"/>
        </w:tabs>
      </w:pPr>
      <w:r>
        <w:t>Reporte: El accidente de trabajo con Riesgo Biológico a la ARL y EPS dentro de los 2 días hábiles después de ocurrido. Ley 1562/Julio 2012. Artículo 3o.</w:t>
      </w:r>
    </w:p>
    <w:p w:rsidR="001A3B75" w:rsidRDefault="001A3B75" w:rsidP="001A3B75">
      <w:pPr>
        <w:pStyle w:val="Prrafodelista"/>
        <w:tabs>
          <w:tab w:val="left" w:pos="321"/>
        </w:tabs>
        <w:ind w:left="1040" w:firstLine="0"/>
      </w:pPr>
    </w:p>
    <w:p w:rsidR="001A3B75" w:rsidRDefault="001A3B75" w:rsidP="001A3B75">
      <w:pPr>
        <w:tabs>
          <w:tab w:val="left" w:pos="321"/>
        </w:tabs>
      </w:pPr>
      <w:r>
        <w:t xml:space="preserve">Tomado de </w:t>
      </w:r>
      <w:r>
        <w:t>Protocolo de manejo en caso de accidente por riesgo biológico (Positiva ARP, 2009</w:t>
      </w:r>
      <w:r w:rsidR="000730D2">
        <w:t>)</w:t>
      </w:r>
    </w:p>
    <w:p w:rsidR="00BA279A" w:rsidRDefault="00BA279A">
      <w:pPr>
        <w:pStyle w:val="Textoindependiente"/>
        <w:spacing w:before="8"/>
        <w:rPr>
          <w:sz w:val="19"/>
        </w:rPr>
      </w:pPr>
    </w:p>
    <w:p w:rsidR="00BA279A" w:rsidRDefault="001B71F2">
      <w:pPr>
        <w:pStyle w:val="Prrafodelista"/>
        <w:numPr>
          <w:ilvl w:val="0"/>
          <w:numId w:val="1"/>
        </w:numPr>
        <w:tabs>
          <w:tab w:val="left" w:pos="321"/>
        </w:tabs>
      </w:pPr>
      <w:r>
        <w:t>¿A qué enfermedades pudo qu</w:t>
      </w:r>
      <w:r>
        <w:t>edar expuesta Anita? Argumente su</w:t>
      </w:r>
      <w:r>
        <w:rPr>
          <w:spacing w:val="-6"/>
        </w:rPr>
        <w:t xml:space="preserve"> </w:t>
      </w:r>
      <w:r>
        <w:t>respuesta.</w:t>
      </w:r>
    </w:p>
    <w:p w:rsidR="001A3B75" w:rsidRDefault="000730D2" w:rsidP="001A3B75">
      <w:pPr>
        <w:pStyle w:val="Prrafodelista"/>
        <w:tabs>
          <w:tab w:val="left" w:pos="321"/>
        </w:tabs>
        <w:ind w:firstLine="0"/>
        <w:rPr>
          <w:lang w:val="es-CO"/>
        </w:rPr>
      </w:pPr>
      <w:r>
        <w:t xml:space="preserve">Anita pudo exponerse a contraer </w:t>
      </w:r>
      <w:r w:rsidRPr="000730D2">
        <w:rPr>
          <w:lang w:val="es-CO"/>
        </w:rPr>
        <w:t xml:space="preserve">VIH, Hepatitis </w:t>
      </w:r>
      <w:r>
        <w:rPr>
          <w:lang w:val="es-CO"/>
        </w:rPr>
        <w:t xml:space="preserve">B, </w:t>
      </w:r>
      <w:r w:rsidRPr="000730D2">
        <w:rPr>
          <w:lang w:val="es-CO"/>
        </w:rPr>
        <w:t>Hepatitis</w:t>
      </w:r>
      <w:r>
        <w:rPr>
          <w:lang w:val="es-CO"/>
        </w:rPr>
        <w:t xml:space="preserve"> C, </w:t>
      </w:r>
      <w:r w:rsidRPr="000730D2">
        <w:rPr>
          <w:lang w:val="es-CO"/>
        </w:rPr>
        <w:t xml:space="preserve">u otro </w:t>
      </w:r>
      <w:r>
        <w:rPr>
          <w:lang w:val="es-CO"/>
        </w:rPr>
        <w:t>tipo de infección. Para descartar cualquiera se deben realizar los siguientes exámenes de laboratorio por parte de la ARL</w:t>
      </w:r>
    </w:p>
    <w:p w:rsidR="000730D2" w:rsidRDefault="000730D2" w:rsidP="001A3B75">
      <w:pPr>
        <w:pStyle w:val="Prrafodelista"/>
        <w:tabs>
          <w:tab w:val="left" w:pos="321"/>
        </w:tabs>
        <w:ind w:firstLine="0"/>
        <w:rPr>
          <w:lang w:val="es-CO"/>
        </w:rPr>
      </w:pPr>
    </w:p>
    <w:p w:rsidR="000730D2" w:rsidRDefault="000730D2" w:rsidP="000730D2">
      <w:pPr>
        <w:pStyle w:val="Prrafodelista"/>
        <w:numPr>
          <w:ilvl w:val="0"/>
          <w:numId w:val="3"/>
        </w:numPr>
        <w:tabs>
          <w:tab w:val="left" w:pos="321"/>
        </w:tabs>
        <w:rPr>
          <w:lang w:val="es-CO"/>
        </w:rPr>
      </w:pPr>
      <w:r>
        <w:rPr>
          <w:lang w:val="es-CO"/>
        </w:rPr>
        <w:t>Antígeno de superficie del virus de Hepatitis B (</w:t>
      </w:r>
      <w:proofErr w:type="spellStart"/>
      <w:r>
        <w:rPr>
          <w:lang w:val="es-CO"/>
        </w:rPr>
        <w:t>HBsAg</w:t>
      </w:r>
      <w:proofErr w:type="spellEnd"/>
      <w:r>
        <w:rPr>
          <w:lang w:val="es-CO"/>
        </w:rPr>
        <w:t>),</w:t>
      </w:r>
    </w:p>
    <w:p w:rsidR="000730D2" w:rsidRDefault="000730D2" w:rsidP="000730D2">
      <w:pPr>
        <w:pStyle w:val="Prrafodelista"/>
        <w:numPr>
          <w:ilvl w:val="0"/>
          <w:numId w:val="3"/>
        </w:numPr>
        <w:tabs>
          <w:tab w:val="left" w:pos="321"/>
        </w:tabs>
        <w:rPr>
          <w:lang w:val="es-CO"/>
        </w:rPr>
      </w:pPr>
      <w:r>
        <w:rPr>
          <w:lang w:val="es-CO"/>
        </w:rPr>
        <w:t>Anticuerpos contra el antígeno de superficie del virus de Hepatitis B (</w:t>
      </w:r>
      <w:proofErr w:type="spellStart"/>
      <w:r>
        <w:rPr>
          <w:lang w:val="es-CO"/>
        </w:rPr>
        <w:t>HBsAc</w:t>
      </w:r>
      <w:proofErr w:type="spellEnd"/>
      <w:r>
        <w:rPr>
          <w:lang w:val="es-CO"/>
        </w:rPr>
        <w:t>),</w:t>
      </w:r>
    </w:p>
    <w:p w:rsidR="000730D2" w:rsidRDefault="000730D2" w:rsidP="000730D2">
      <w:pPr>
        <w:pStyle w:val="Prrafodelista"/>
        <w:numPr>
          <w:ilvl w:val="0"/>
          <w:numId w:val="3"/>
        </w:numPr>
        <w:tabs>
          <w:tab w:val="left" w:pos="321"/>
        </w:tabs>
        <w:rPr>
          <w:lang w:val="es-CO"/>
        </w:rPr>
      </w:pPr>
      <w:r>
        <w:rPr>
          <w:lang w:val="es-CO"/>
        </w:rPr>
        <w:t>Anticuerpos contra el antígeno de superficie del virus de Hepatitis C(</w:t>
      </w:r>
      <w:proofErr w:type="spellStart"/>
      <w:r>
        <w:rPr>
          <w:lang w:val="es-CO"/>
        </w:rPr>
        <w:t>HCsAc</w:t>
      </w:r>
      <w:proofErr w:type="spellEnd"/>
      <w:r>
        <w:rPr>
          <w:lang w:val="es-CO"/>
        </w:rPr>
        <w:t>)</w:t>
      </w:r>
    </w:p>
    <w:p w:rsidR="000730D2" w:rsidRDefault="000730D2" w:rsidP="000730D2">
      <w:pPr>
        <w:pStyle w:val="Prrafodelista"/>
        <w:numPr>
          <w:ilvl w:val="0"/>
          <w:numId w:val="3"/>
        </w:numPr>
        <w:tabs>
          <w:tab w:val="left" w:pos="321"/>
        </w:tabs>
        <w:rPr>
          <w:lang w:val="es-CO"/>
        </w:rPr>
      </w:pPr>
      <w:r>
        <w:rPr>
          <w:lang w:val="es-CO"/>
        </w:rPr>
        <w:t>Serología para lúes (VDRL/Cardiolipina)</w:t>
      </w:r>
    </w:p>
    <w:p w:rsidR="000730D2" w:rsidRDefault="000730D2" w:rsidP="001A3B75">
      <w:pPr>
        <w:pStyle w:val="Prrafodelista"/>
        <w:tabs>
          <w:tab w:val="left" w:pos="321"/>
        </w:tabs>
        <w:ind w:firstLine="0"/>
        <w:rPr>
          <w:lang w:val="es-CO"/>
        </w:rPr>
      </w:pPr>
    </w:p>
    <w:p w:rsidR="000730D2" w:rsidRPr="000730D2" w:rsidRDefault="000730D2" w:rsidP="001A3B75">
      <w:pPr>
        <w:pStyle w:val="Prrafodelista"/>
        <w:tabs>
          <w:tab w:val="left" w:pos="321"/>
        </w:tabs>
        <w:ind w:firstLine="0"/>
        <w:rPr>
          <w:lang w:val="es-CO"/>
        </w:rPr>
      </w:pPr>
      <w:r>
        <w:t>Tomado de Protocolo de manejo en caso de accidente por riesgo biológico (Positiva ARP, 2009</w:t>
      </w:r>
      <w:r>
        <w:t>)</w:t>
      </w:r>
    </w:p>
    <w:p w:rsidR="00BA279A" w:rsidRPr="000730D2" w:rsidRDefault="00BA279A">
      <w:pPr>
        <w:pStyle w:val="Textoindependiente"/>
        <w:spacing w:before="8"/>
        <w:rPr>
          <w:sz w:val="19"/>
          <w:lang w:val="es-CO"/>
        </w:rPr>
      </w:pPr>
    </w:p>
    <w:p w:rsidR="00BA279A" w:rsidRDefault="001B71F2">
      <w:pPr>
        <w:pStyle w:val="Prrafodelista"/>
        <w:numPr>
          <w:ilvl w:val="0"/>
          <w:numId w:val="1"/>
        </w:numPr>
        <w:tabs>
          <w:tab w:val="left" w:pos="321"/>
        </w:tabs>
        <w:spacing w:before="1"/>
      </w:pPr>
      <w:r>
        <w:t>¿Piensa que Paola obró de manera incorrecta? Argumente su</w:t>
      </w:r>
      <w:r>
        <w:rPr>
          <w:spacing w:val="-8"/>
        </w:rPr>
        <w:t xml:space="preserve"> </w:t>
      </w:r>
      <w:r>
        <w:t>respuesta.</w:t>
      </w:r>
    </w:p>
    <w:p w:rsidR="00157294" w:rsidRDefault="00157294" w:rsidP="00157294">
      <w:pPr>
        <w:pStyle w:val="Prrafodelista"/>
      </w:pPr>
    </w:p>
    <w:p w:rsidR="00157294" w:rsidRDefault="00157294" w:rsidP="00157294">
      <w:pPr>
        <w:pStyle w:val="Prrafodelista"/>
        <w:tabs>
          <w:tab w:val="left" w:pos="321"/>
        </w:tabs>
        <w:spacing w:before="1"/>
        <w:ind w:firstLine="0"/>
      </w:pPr>
      <w:r>
        <w:t xml:space="preserve">Sí, porque como profesional debe conocer las nociones básicas de bioseguridad y manejo de residuos, si ella no estaba seguridad de la eliminación y clasificación de los residuos debió acudir al dueño del establecimiento </w:t>
      </w:r>
    </w:p>
    <w:p w:rsidR="00BA279A" w:rsidRDefault="00BA279A">
      <w:pPr>
        <w:pStyle w:val="Textoindependiente"/>
        <w:spacing w:before="5"/>
        <w:rPr>
          <w:sz w:val="19"/>
        </w:rPr>
      </w:pPr>
    </w:p>
    <w:p w:rsidR="00BA279A" w:rsidRDefault="001B71F2">
      <w:pPr>
        <w:pStyle w:val="Prrafodelista"/>
        <w:numPr>
          <w:ilvl w:val="0"/>
          <w:numId w:val="1"/>
        </w:numPr>
        <w:tabs>
          <w:tab w:val="left" w:pos="369"/>
        </w:tabs>
        <w:spacing w:line="278" w:lineRule="auto"/>
        <w:ind w:left="102" w:right="115" w:firstLine="0"/>
      </w:pPr>
      <w:r>
        <w:t xml:space="preserve">¿El dueño del establecimiento tiene alguna responsabilidad frente al accidente de Anita? </w:t>
      </w:r>
      <w:r>
        <w:lastRenderedPageBreak/>
        <w:t>Explique y argumente.</w:t>
      </w:r>
      <w:r w:rsidR="00AD3733">
        <w:t xml:space="preserve"> </w:t>
      </w:r>
    </w:p>
    <w:p w:rsidR="00AD3733" w:rsidRDefault="00AD3733" w:rsidP="00AD3733">
      <w:pPr>
        <w:pStyle w:val="Prrafodelista"/>
        <w:tabs>
          <w:tab w:val="left" w:pos="369"/>
        </w:tabs>
        <w:spacing w:line="278" w:lineRule="auto"/>
        <w:ind w:left="102" w:right="115" w:firstLine="0"/>
      </w:pPr>
      <w:r>
        <w:t>Claro que sí, porque el dueño del establecimiento debe cerciorarse que todos sus empleados conozcan las mínimas normas de bioseguridad y manejo de residuos, porque aunque Anita es la encargada ella, todos deben sesionarse de darle el destino adecuado a los implementos que usan, si la aguja estuviera infectada con alguna enfermedad de transmisión no solo Anita sino cualquiera empleado hubiera podido salir afectado y el dueño deberá asumir la responsabilidad</w:t>
      </w:r>
    </w:p>
    <w:p w:rsidR="00BA279A" w:rsidRDefault="001B71F2">
      <w:pPr>
        <w:pStyle w:val="Textoindependiente"/>
        <w:spacing w:before="196" w:line="273" w:lineRule="auto"/>
        <w:ind w:left="102" w:right="114"/>
        <w:jc w:val="both"/>
      </w:pPr>
      <w:r>
        <w:t>Responda a las preguntas en u</w:t>
      </w:r>
      <w:r>
        <w:t>n documento, utilizando el procesador de texto de su preferencia (Microsoft Word, Open Office) y envíelo a su tutor a través del LMS, enlace Actividad 3, Actividad 3</w:t>
      </w:r>
    </w:p>
    <w:p w:rsidR="00BA279A" w:rsidRDefault="001B71F2">
      <w:pPr>
        <w:pStyle w:val="Textoindependiente"/>
        <w:spacing w:before="7"/>
        <w:ind w:left="102"/>
      </w:pPr>
      <w:r>
        <w:t>– evidencia 2.</w:t>
      </w:r>
    </w:p>
    <w:p w:rsidR="001A3B75" w:rsidRDefault="001A3B75">
      <w:pPr>
        <w:pStyle w:val="Textoindependiente"/>
        <w:spacing w:before="7"/>
        <w:ind w:left="102"/>
      </w:pPr>
    </w:p>
    <w:p w:rsidR="001A3B75" w:rsidRDefault="001A3B75">
      <w:pPr>
        <w:pStyle w:val="Textoindependiente"/>
        <w:spacing w:before="7"/>
        <w:ind w:left="102"/>
      </w:pPr>
      <w:r>
        <w:t>Bibliografía</w:t>
      </w:r>
    </w:p>
    <w:p w:rsidR="001A3B75" w:rsidRDefault="001A3B75">
      <w:pPr>
        <w:pStyle w:val="Textoindependiente"/>
        <w:spacing w:before="7"/>
        <w:ind w:left="102"/>
      </w:pPr>
    </w:p>
    <w:p w:rsidR="001A3B75" w:rsidRDefault="001A3B75">
      <w:pPr>
        <w:pStyle w:val="Textoindependiente"/>
        <w:spacing w:before="7"/>
        <w:ind w:left="102"/>
      </w:pPr>
      <w:hyperlink r:id="rId5" w:history="1">
        <w:r>
          <w:rPr>
            <w:rStyle w:val="Hipervnculo"/>
          </w:rPr>
          <w:t>https://sena.territorio.la/content/index.php/institucion/Complementaria/institution/SENA/Salud/63730739/Contenido/OVA/MATERIAL3/docs/material_formacion_3.pdf</w:t>
        </w:r>
      </w:hyperlink>
    </w:p>
    <w:p w:rsidR="000730D2" w:rsidRDefault="000730D2">
      <w:pPr>
        <w:pStyle w:val="Textoindependiente"/>
        <w:spacing w:before="7"/>
        <w:ind w:left="102"/>
      </w:pPr>
    </w:p>
    <w:p w:rsidR="000730D2" w:rsidRDefault="000730D2">
      <w:pPr>
        <w:pStyle w:val="Textoindependiente"/>
        <w:spacing w:before="7"/>
        <w:ind w:left="102"/>
      </w:pPr>
      <w:hyperlink r:id="rId6" w:history="1">
        <w:r>
          <w:rPr>
            <w:rStyle w:val="Hipervnculo"/>
          </w:rPr>
          <w:t>https://sena.territorio.la/content/index.php/institucion/Complementaria/institution/SENA/Salud/63730739/Contenido/OVA/MATERIAL3/index.html</w:t>
        </w:r>
      </w:hyperlink>
    </w:p>
    <w:p w:rsidR="000730D2" w:rsidRDefault="000730D2">
      <w:pPr>
        <w:pStyle w:val="Textoindependiente"/>
        <w:spacing w:before="7"/>
        <w:ind w:left="102"/>
      </w:pPr>
    </w:p>
    <w:p w:rsidR="000730D2" w:rsidRDefault="000730D2">
      <w:pPr>
        <w:pStyle w:val="Textoindependiente"/>
        <w:spacing w:before="7"/>
        <w:ind w:left="102"/>
      </w:pPr>
      <w:bookmarkStart w:id="0" w:name="_GoBack"/>
      <w:bookmarkEnd w:id="0"/>
    </w:p>
    <w:p w:rsidR="000730D2" w:rsidRDefault="000730D2">
      <w:pPr>
        <w:pStyle w:val="Textoindependiente"/>
        <w:spacing w:before="7"/>
        <w:ind w:left="102"/>
      </w:pPr>
    </w:p>
    <w:p w:rsidR="001A3B75" w:rsidRDefault="001A3B75">
      <w:pPr>
        <w:pStyle w:val="Textoindependiente"/>
        <w:spacing w:before="7"/>
        <w:ind w:left="102"/>
      </w:pPr>
    </w:p>
    <w:p w:rsidR="001A3B75" w:rsidRDefault="001A3B75">
      <w:pPr>
        <w:pStyle w:val="Textoindependiente"/>
        <w:spacing w:before="7"/>
        <w:ind w:left="102"/>
      </w:pPr>
    </w:p>
    <w:p w:rsidR="001A3B75" w:rsidRDefault="001A3B75">
      <w:pPr>
        <w:pStyle w:val="Textoindependiente"/>
        <w:spacing w:before="7"/>
        <w:ind w:left="102"/>
      </w:pPr>
    </w:p>
    <w:sectPr w:rsidR="001A3B75">
      <w:type w:val="continuous"/>
      <w:pgSz w:w="12240" w:h="15840"/>
      <w:pgMar w:top="138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3120B1"/>
    <w:multiLevelType w:val="hybridMultilevel"/>
    <w:tmpl w:val="54D85860"/>
    <w:lvl w:ilvl="0" w:tplc="240A0001">
      <w:start w:val="1"/>
      <w:numFmt w:val="bullet"/>
      <w:lvlText w:val=""/>
      <w:lvlJc w:val="left"/>
      <w:pPr>
        <w:ind w:left="1040" w:hanging="360"/>
      </w:pPr>
      <w:rPr>
        <w:rFonts w:ascii="Symbol" w:hAnsi="Symbol" w:hint="default"/>
      </w:rPr>
    </w:lvl>
    <w:lvl w:ilvl="1" w:tplc="240A0003" w:tentative="1">
      <w:start w:val="1"/>
      <w:numFmt w:val="bullet"/>
      <w:lvlText w:val="o"/>
      <w:lvlJc w:val="left"/>
      <w:pPr>
        <w:ind w:left="1760" w:hanging="360"/>
      </w:pPr>
      <w:rPr>
        <w:rFonts w:ascii="Courier New" w:hAnsi="Courier New" w:cs="Courier New" w:hint="default"/>
      </w:rPr>
    </w:lvl>
    <w:lvl w:ilvl="2" w:tplc="240A0005" w:tentative="1">
      <w:start w:val="1"/>
      <w:numFmt w:val="bullet"/>
      <w:lvlText w:val=""/>
      <w:lvlJc w:val="left"/>
      <w:pPr>
        <w:ind w:left="2480" w:hanging="360"/>
      </w:pPr>
      <w:rPr>
        <w:rFonts w:ascii="Wingdings" w:hAnsi="Wingdings" w:hint="default"/>
      </w:rPr>
    </w:lvl>
    <w:lvl w:ilvl="3" w:tplc="240A0001" w:tentative="1">
      <w:start w:val="1"/>
      <w:numFmt w:val="bullet"/>
      <w:lvlText w:val=""/>
      <w:lvlJc w:val="left"/>
      <w:pPr>
        <w:ind w:left="3200" w:hanging="360"/>
      </w:pPr>
      <w:rPr>
        <w:rFonts w:ascii="Symbol" w:hAnsi="Symbol" w:hint="default"/>
      </w:rPr>
    </w:lvl>
    <w:lvl w:ilvl="4" w:tplc="240A0003" w:tentative="1">
      <w:start w:val="1"/>
      <w:numFmt w:val="bullet"/>
      <w:lvlText w:val="o"/>
      <w:lvlJc w:val="left"/>
      <w:pPr>
        <w:ind w:left="3920" w:hanging="360"/>
      </w:pPr>
      <w:rPr>
        <w:rFonts w:ascii="Courier New" w:hAnsi="Courier New" w:cs="Courier New" w:hint="default"/>
      </w:rPr>
    </w:lvl>
    <w:lvl w:ilvl="5" w:tplc="240A0005" w:tentative="1">
      <w:start w:val="1"/>
      <w:numFmt w:val="bullet"/>
      <w:lvlText w:val=""/>
      <w:lvlJc w:val="left"/>
      <w:pPr>
        <w:ind w:left="4640" w:hanging="360"/>
      </w:pPr>
      <w:rPr>
        <w:rFonts w:ascii="Wingdings" w:hAnsi="Wingdings" w:hint="default"/>
      </w:rPr>
    </w:lvl>
    <w:lvl w:ilvl="6" w:tplc="240A0001" w:tentative="1">
      <w:start w:val="1"/>
      <w:numFmt w:val="bullet"/>
      <w:lvlText w:val=""/>
      <w:lvlJc w:val="left"/>
      <w:pPr>
        <w:ind w:left="5360" w:hanging="360"/>
      </w:pPr>
      <w:rPr>
        <w:rFonts w:ascii="Symbol" w:hAnsi="Symbol" w:hint="default"/>
      </w:rPr>
    </w:lvl>
    <w:lvl w:ilvl="7" w:tplc="240A0003" w:tentative="1">
      <w:start w:val="1"/>
      <w:numFmt w:val="bullet"/>
      <w:lvlText w:val="o"/>
      <w:lvlJc w:val="left"/>
      <w:pPr>
        <w:ind w:left="6080" w:hanging="360"/>
      </w:pPr>
      <w:rPr>
        <w:rFonts w:ascii="Courier New" w:hAnsi="Courier New" w:cs="Courier New" w:hint="default"/>
      </w:rPr>
    </w:lvl>
    <w:lvl w:ilvl="8" w:tplc="240A0005" w:tentative="1">
      <w:start w:val="1"/>
      <w:numFmt w:val="bullet"/>
      <w:lvlText w:val=""/>
      <w:lvlJc w:val="left"/>
      <w:pPr>
        <w:ind w:left="6800" w:hanging="360"/>
      </w:pPr>
      <w:rPr>
        <w:rFonts w:ascii="Wingdings" w:hAnsi="Wingdings" w:hint="default"/>
      </w:rPr>
    </w:lvl>
  </w:abstractNum>
  <w:abstractNum w:abstractNumId="1" w15:restartNumberingAfterBreak="0">
    <w:nsid w:val="6739419C"/>
    <w:multiLevelType w:val="hybridMultilevel"/>
    <w:tmpl w:val="95A8D588"/>
    <w:lvl w:ilvl="0" w:tplc="240A0001">
      <w:start w:val="1"/>
      <w:numFmt w:val="bullet"/>
      <w:lvlText w:val=""/>
      <w:lvlJc w:val="left"/>
      <w:pPr>
        <w:ind w:left="1040" w:hanging="360"/>
      </w:pPr>
      <w:rPr>
        <w:rFonts w:ascii="Symbol" w:hAnsi="Symbol" w:hint="default"/>
      </w:rPr>
    </w:lvl>
    <w:lvl w:ilvl="1" w:tplc="240A0003" w:tentative="1">
      <w:start w:val="1"/>
      <w:numFmt w:val="bullet"/>
      <w:lvlText w:val="o"/>
      <w:lvlJc w:val="left"/>
      <w:pPr>
        <w:ind w:left="1760" w:hanging="360"/>
      </w:pPr>
      <w:rPr>
        <w:rFonts w:ascii="Courier New" w:hAnsi="Courier New" w:cs="Courier New" w:hint="default"/>
      </w:rPr>
    </w:lvl>
    <w:lvl w:ilvl="2" w:tplc="240A0005" w:tentative="1">
      <w:start w:val="1"/>
      <w:numFmt w:val="bullet"/>
      <w:lvlText w:val=""/>
      <w:lvlJc w:val="left"/>
      <w:pPr>
        <w:ind w:left="2480" w:hanging="360"/>
      </w:pPr>
      <w:rPr>
        <w:rFonts w:ascii="Wingdings" w:hAnsi="Wingdings" w:hint="default"/>
      </w:rPr>
    </w:lvl>
    <w:lvl w:ilvl="3" w:tplc="240A0001" w:tentative="1">
      <w:start w:val="1"/>
      <w:numFmt w:val="bullet"/>
      <w:lvlText w:val=""/>
      <w:lvlJc w:val="left"/>
      <w:pPr>
        <w:ind w:left="3200" w:hanging="360"/>
      </w:pPr>
      <w:rPr>
        <w:rFonts w:ascii="Symbol" w:hAnsi="Symbol" w:hint="default"/>
      </w:rPr>
    </w:lvl>
    <w:lvl w:ilvl="4" w:tplc="240A0003" w:tentative="1">
      <w:start w:val="1"/>
      <w:numFmt w:val="bullet"/>
      <w:lvlText w:val="o"/>
      <w:lvlJc w:val="left"/>
      <w:pPr>
        <w:ind w:left="3920" w:hanging="360"/>
      </w:pPr>
      <w:rPr>
        <w:rFonts w:ascii="Courier New" w:hAnsi="Courier New" w:cs="Courier New" w:hint="default"/>
      </w:rPr>
    </w:lvl>
    <w:lvl w:ilvl="5" w:tplc="240A0005" w:tentative="1">
      <w:start w:val="1"/>
      <w:numFmt w:val="bullet"/>
      <w:lvlText w:val=""/>
      <w:lvlJc w:val="left"/>
      <w:pPr>
        <w:ind w:left="4640" w:hanging="360"/>
      </w:pPr>
      <w:rPr>
        <w:rFonts w:ascii="Wingdings" w:hAnsi="Wingdings" w:hint="default"/>
      </w:rPr>
    </w:lvl>
    <w:lvl w:ilvl="6" w:tplc="240A0001" w:tentative="1">
      <w:start w:val="1"/>
      <w:numFmt w:val="bullet"/>
      <w:lvlText w:val=""/>
      <w:lvlJc w:val="left"/>
      <w:pPr>
        <w:ind w:left="5360" w:hanging="360"/>
      </w:pPr>
      <w:rPr>
        <w:rFonts w:ascii="Symbol" w:hAnsi="Symbol" w:hint="default"/>
      </w:rPr>
    </w:lvl>
    <w:lvl w:ilvl="7" w:tplc="240A0003" w:tentative="1">
      <w:start w:val="1"/>
      <w:numFmt w:val="bullet"/>
      <w:lvlText w:val="o"/>
      <w:lvlJc w:val="left"/>
      <w:pPr>
        <w:ind w:left="6080" w:hanging="360"/>
      </w:pPr>
      <w:rPr>
        <w:rFonts w:ascii="Courier New" w:hAnsi="Courier New" w:cs="Courier New" w:hint="default"/>
      </w:rPr>
    </w:lvl>
    <w:lvl w:ilvl="8" w:tplc="240A0005" w:tentative="1">
      <w:start w:val="1"/>
      <w:numFmt w:val="bullet"/>
      <w:lvlText w:val=""/>
      <w:lvlJc w:val="left"/>
      <w:pPr>
        <w:ind w:left="6800" w:hanging="360"/>
      </w:pPr>
      <w:rPr>
        <w:rFonts w:ascii="Wingdings" w:hAnsi="Wingdings" w:hint="default"/>
      </w:rPr>
    </w:lvl>
  </w:abstractNum>
  <w:abstractNum w:abstractNumId="2" w15:restartNumberingAfterBreak="0">
    <w:nsid w:val="6A7138EB"/>
    <w:multiLevelType w:val="hybridMultilevel"/>
    <w:tmpl w:val="86CCE136"/>
    <w:lvl w:ilvl="0" w:tplc="5C8E131E">
      <w:start w:val="1"/>
      <w:numFmt w:val="decimal"/>
      <w:lvlText w:val="%1."/>
      <w:lvlJc w:val="left"/>
      <w:pPr>
        <w:ind w:left="320" w:hanging="219"/>
      </w:pPr>
      <w:rPr>
        <w:rFonts w:ascii="Calibri" w:eastAsia="Calibri" w:hAnsi="Calibri" w:cs="Calibri" w:hint="default"/>
        <w:w w:val="100"/>
        <w:sz w:val="22"/>
        <w:szCs w:val="22"/>
        <w:lang w:val="es-ES" w:eastAsia="es-ES" w:bidi="es-ES"/>
      </w:rPr>
    </w:lvl>
    <w:lvl w:ilvl="1" w:tplc="C2C6BECA">
      <w:numFmt w:val="bullet"/>
      <w:lvlText w:val="•"/>
      <w:lvlJc w:val="left"/>
      <w:pPr>
        <w:ind w:left="1194" w:hanging="219"/>
      </w:pPr>
      <w:rPr>
        <w:rFonts w:hint="default"/>
        <w:lang w:val="es-ES" w:eastAsia="es-ES" w:bidi="es-ES"/>
      </w:rPr>
    </w:lvl>
    <w:lvl w:ilvl="2" w:tplc="ECFE59A4">
      <w:numFmt w:val="bullet"/>
      <w:lvlText w:val="•"/>
      <w:lvlJc w:val="left"/>
      <w:pPr>
        <w:ind w:left="2068" w:hanging="219"/>
      </w:pPr>
      <w:rPr>
        <w:rFonts w:hint="default"/>
        <w:lang w:val="es-ES" w:eastAsia="es-ES" w:bidi="es-ES"/>
      </w:rPr>
    </w:lvl>
    <w:lvl w:ilvl="3" w:tplc="734E145E">
      <w:numFmt w:val="bullet"/>
      <w:lvlText w:val="•"/>
      <w:lvlJc w:val="left"/>
      <w:pPr>
        <w:ind w:left="2942" w:hanging="219"/>
      </w:pPr>
      <w:rPr>
        <w:rFonts w:hint="default"/>
        <w:lang w:val="es-ES" w:eastAsia="es-ES" w:bidi="es-ES"/>
      </w:rPr>
    </w:lvl>
    <w:lvl w:ilvl="4" w:tplc="CEDA1E32">
      <w:numFmt w:val="bullet"/>
      <w:lvlText w:val="•"/>
      <w:lvlJc w:val="left"/>
      <w:pPr>
        <w:ind w:left="3816" w:hanging="219"/>
      </w:pPr>
      <w:rPr>
        <w:rFonts w:hint="default"/>
        <w:lang w:val="es-ES" w:eastAsia="es-ES" w:bidi="es-ES"/>
      </w:rPr>
    </w:lvl>
    <w:lvl w:ilvl="5" w:tplc="A596F9B8">
      <w:numFmt w:val="bullet"/>
      <w:lvlText w:val="•"/>
      <w:lvlJc w:val="left"/>
      <w:pPr>
        <w:ind w:left="4690" w:hanging="219"/>
      </w:pPr>
      <w:rPr>
        <w:rFonts w:hint="default"/>
        <w:lang w:val="es-ES" w:eastAsia="es-ES" w:bidi="es-ES"/>
      </w:rPr>
    </w:lvl>
    <w:lvl w:ilvl="6" w:tplc="BD889800">
      <w:numFmt w:val="bullet"/>
      <w:lvlText w:val="•"/>
      <w:lvlJc w:val="left"/>
      <w:pPr>
        <w:ind w:left="5564" w:hanging="219"/>
      </w:pPr>
      <w:rPr>
        <w:rFonts w:hint="default"/>
        <w:lang w:val="es-ES" w:eastAsia="es-ES" w:bidi="es-ES"/>
      </w:rPr>
    </w:lvl>
    <w:lvl w:ilvl="7" w:tplc="C7801D52">
      <w:numFmt w:val="bullet"/>
      <w:lvlText w:val="•"/>
      <w:lvlJc w:val="left"/>
      <w:pPr>
        <w:ind w:left="6438" w:hanging="219"/>
      </w:pPr>
      <w:rPr>
        <w:rFonts w:hint="default"/>
        <w:lang w:val="es-ES" w:eastAsia="es-ES" w:bidi="es-ES"/>
      </w:rPr>
    </w:lvl>
    <w:lvl w:ilvl="8" w:tplc="2BD04978">
      <w:numFmt w:val="bullet"/>
      <w:lvlText w:val="•"/>
      <w:lvlJc w:val="left"/>
      <w:pPr>
        <w:ind w:left="7312" w:hanging="219"/>
      </w:pPr>
      <w:rPr>
        <w:rFonts w:hint="default"/>
        <w:lang w:val="es-ES" w:eastAsia="es-ES" w:bidi="es-E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79A"/>
    <w:rsid w:val="000730D2"/>
    <w:rsid w:val="00157294"/>
    <w:rsid w:val="001A3B75"/>
    <w:rsid w:val="001B71F2"/>
    <w:rsid w:val="00AD3733"/>
    <w:rsid w:val="00BA27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08E693-D38F-48BB-8392-B52017D2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320" w:hanging="219"/>
    </w:pPr>
  </w:style>
  <w:style w:type="paragraph" w:customStyle="1" w:styleId="TableParagraph">
    <w:name w:val="Table Paragraph"/>
    <w:basedOn w:val="Normal"/>
    <w:uiPriority w:val="1"/>
    <w:qFormat/>
  </w:style>
  <w:style w:type="character" w:styleId="Hipervnculo">
    <w:name w:val="Hyperlink"/>
    <w:basedOn w:val="Fuentedeprrafopredeter"/>
    <w:uiPriority w:val="99"/>
    <w:semiHidden/>
    <w:unhideWhenUsed/>
    <w:rsid w:val="001A3B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na.territorio.la/content/index.php/institucion/Complementaria/institution/SENA/Salud/63730739/Contenido/OVA/MATERIAL3/index.html" TargetMode="External"/><Relationship Id="rId5" Type="http://schemas.openxmlformats.org/officeDocument/2006/relationships/hyperlink" Target="https://sena.territorio.la/content/index.php/institucion/Complementaria/institution/SENA/Salud/63730739/Contenido/OVA/MATERIAL3/docs/material_formacion_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3607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HP</cp:lastModifiedBy>
  <cp:revision>2</cp:revision>
  <dcterms:created xsi:type="dcterms:W3CDTF">2020-06-07T22:14:00Z</dcterms:created>
  <dcterms:modified xsi:type="dcterms:W3CDTF">2020-06-07T22:14:00Z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2020-05-30T00:00:00Z</vt:filetime>
  </property>
  <property fmtid="{D5CDD505-2E9C-101B-9397-08002B2CF9AE}" pid="3" name="Creator">
    <vt:lpwstr>Microsoft® Word 2010</vt:lpwstr>
  </property>
  <property fmtid="{D5CDD505-2E9C-101B-9397-08002B2CF9AE}" pid="4" name="LastSaved">
    <vt:filetime>2020-06-07T00:00:00Z</vt:filetime>
  </property>
</Properties>
</file>